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4896" w14:textId="2D75411E" w:rsidR="00D37494" w:rsidRPr="00A73B6F" w:rsidRDefault="00D37494" w:rsidP="006771D8">
      <w:pPr>
        <w:jc w:val="both"/>
        <w:rPr>
          <w:rFonts w:ascii="Cambria Math" w:eastAsia="Times New Roman" w:hAnsi="Cambria Math" w:cs="Segoe UI"/>
          <w:b/>
          <w:bCs/>
          <w:color w:val="24292E"/>
          <w:sz w:val="36"/>
          <w:szCs w:val="36"/>
        </w:rPr>
      </w:pPr>
      <w:proofErr w:type="gramStart"/>
      <w:r w:rsidRPr="00A73B6F">
        <w:rPr>
          <w:rFonts w:ascii="Cambria Math" w:eastAsia="Times New Roman" w:hAnsi="Cambria Math" w:cs="Segoe UI"/>
          <w:b/>
          <w:bCs/>
          <w:color w:val="24292E"/>
          <w:sz w:val="36"/>
          <w:szCs w:val="36"/>
        </w:rPr>
        <w:t xml:space="preserve">CWE </w:t>
      </w:r>
      <w:r w:rsidR="001C13E6">
        <w:rPr>
          <w:rFonts w:ascii="Cambria Math" w:eastAsia="Times New Roman" w:hAnsi="Cambria Math" w:cs="Segoe UI"/>
          <w:b/>
          <w:bCs/>
          <w:color w:val="24292E"/>
          <w:sz w:val="36"/>
          <w:szCs w:val="36"/>
        </w:rPr>
        <w:t xml:space="preserve"> and</w:t>
      </w:r>
      <w:proofErr w:type="gramEnd"/>
      <w:r w:rsidR="001C13E6">
        <w:rPr>
          <w:rFonts w:ascii="Cambria Math" w:eastAsia="Times New Roman" w:hAnsi="Cambria Math" w:cs="Segoe UI"/>
          <w:b/>
          <w:bCs/>
          <w:color w:val="24292E"/>
          <w:sz w:val="36"/>
          <w:szCs w:val="36"/>
        </w:rPr>
        <w:t xml:space="preserve"> Risk </w:t>
      </w:r>
      <w:r w:rsidRPr="00A73B6F">
        <w:rPr>
          <w:rFonts w:ascii="Cambria Math" w:eastAsia="Times New Roman" w:hAnsi="Cambria Math" w:cs="Segoe UI"/>
          <w:b/>
          <w:bCs/>
          <w:color w:val="24292E"/>
          <w:sz w:val="36"/>
          <w:szCs w:val="36"/>
        </w:rPr>
        <w:t>Analysis:</w:t>
      </w:r>
    </w:p>
    <w:p w14:paraId="75D73C4F" w14:textId="21D86DED" w:rsidR="00A73B6F" w:rsidRPr="00A73B6F" w:rsidRDefault="00A73B6F" w:rsidP="006771D8">
      <w:pPr>
        <w:jc w:val="both"/>
        <w:rPr>
          <w:rFonts w:ascii="Cambria Math" w:eastAsia="Times New Roman" w:hAnsi="Cambria Math" w:cs="Segoe UI"/>
          <w:color w:val="24292E"/>
        </w:rPr>
      </w:pPr>
      <w:r w:rsidRPr="00A73B6F">
        <w:rPr>
          <w:rFonts w:ascii="Cambria Math" w:eastAsia="Times New Roman" w:hAnsi="Cambria Math" w:cs="Segoe UI"/>
          <w:color w:val="24292E"/>
        </w:rPr>
        <w:t xml:space="preserve">Below CWE’s related </w:t>
      </w:r>
      <w:r>
        <w:rPr>
          <w:rFonts w:ascii="Cambria Math" w:eastAsia="Times New Roman" w:hAnsi="Cambria Math" w:cs="Segoe UI"/>
          <w:color w:val="24292E"/>
        </w:rPr>
        <w:t xml:space="preserve">to </w:t>
      </w:r>
      <w:r w:rsidRPr="00A73B6F">
        <w:rPr>
          <w:rFonts w:ascii="Cambria Math" w:eastAsia="Times New Roman" w:hAnsi="Cambria Math" w:cs="Segoe UI"/>
          <w:color w:val="24292E"/>
        </w:rPr>
        <w:t xml:space="preserve">logs are analyzed as part of </w:t>
      </w:r>
      <w:r>
        <w:rPr>
          <w:rFonts w:ascii="Cambria Math" w:eastAsia="Times New Roman" w:hAnsi="Cambria Math" w:cs="Segoe UI"/>
          <w:color w:val="24292E"/>
        </w:rPr>
        <w:t xml:space="preserve">the </w:t>
      </w:r>
      <w:r w:rsidRPr="00A73B6F">
        <w:rPr>
          <w:rFonts w:ascii="Cambria Math" w:eastAsia="Times New Roman" w:hAnsi="Cambria Math" w:cs="Segoe UI"/>
          <w:color w:val="24292E"/>
        </w:rPr>
        <w:t>activity log</w:t>
      </w:r>
      <w:r>
        <w:rPr>
          <w:rFonts w:ascii="Cambria Math" w:eastAsia="Times New Roman" w:hAnsi="Cambria Math" w:cs="Segoe UI"/>
          <w:color w:val="24292E"/>
        </w:rPr>
        <w:t xml:space="preserve"> misuse case</w:t>
      </w:r>
      <w:r w:rsidRPr="00A73B6F">
        <w:rPr>
          <w:rFonts w:ascii="Cambria Math" w:eastAsia="Times New Roman" w:hAnsi="Cambria Math" w:cs="Segoe UI"/>
          <w:color w:val="24292E"/>
        </w:rPr>
        <w:t>.</w:t>
      </w:r>
      <w:r w:rsidR="008C0F52">
        <w:rPr>
          <w:rFonts w:ascii="Cambria Math" w:eastAsia="Times New Roman" w:hAnsi="Cambria Math" w:cs="Segoe UI"/>
          <w:color w:val="24292E"/>
        </w:rPr>
        <w:t xml:space="preserve"> </w:t>
      </w:r>
    </w:p>
    <w:p w14:paraId="277D87B9" w14:textId="453C40B2" w:rsidR="00D37494" w:rsidRDefault="001C13E6" w:rsidP="006771D8">
      <w:pPr>
        <w:jc w:val="both"/>
        <w:rPr>
          <w:rFonts w:ascii="Segoe UI" w:eastAsia="Times New Roman" w:hAnsi="Segoe UI" w:cs="Segoe UI"/>
          <w:b/>
          <w:bCs/>
          <w:color w:val="24292E"/>
          <w:sz w:val="24"/>
          <w:szCs w:val="24"/>
          <w:shd w:val="clear" w:color="auto" w:fill="FFFFFF"/>
        </w:rPr>
      </w:pPr>
      <w:hyperlink r:id="rId4" w:history="1">
        <w:r w:rsidR="00D37494" w:rsidRPr="00A73B6F">
          <w:rPr>
            <w:rStyle w:val="Hyperlink"/>
            <w:rFonts w:ascii="Helvetica" w:hAnsi="Helvetica" w:cs="Helvetica"/>
            <w:color w:val="4B9FD5"/>
            <w:sz w:val="28"/>
            <w:szCs w:val="28"/>
            <w:shd w:val="clear" w:color="auto" w:fill="FFFFFF"/>
          </w:rPr>
          <w:t>CWE-532</w:t>
        </w:r>
      </w:hyperlink>
      <w:r w:rsidR="00A73B6F">
        <w:rPr>
          <w:rFonts w:ascii="Helvetica" w:hAnsi="Helvetica" w:cs="Helvetica"/>
          <w:color w:val="444444"/>
          <w:sz w:val="20"/>
          <w:szCs w:val="20"/>
          <w:shd w:val="clear" w:color="auto" w:fill="FFFFFF"/>
        </w:rPr>
        <w:t>:</w:t>
      </w:r>
      <w:r w:rsidR="00D37494">
        <w:rPr>
          <w:rFonts w:ascii="Helvetica" w:hAnsi="Helvetica" w:cs="Helvetica"/>
          <w:color w:val="444444"/>
          <w:sz w:val="20"/>
          <w:szCs w:val="20"/>
          <w:shd w:val="clear" w:color="auto" w:fill="FFFFFF"/>
        </w:rPr>
        <w:t xml:space="preserve"> </w:t>
      </w:r>
      <w:r w:rsidR="00D37494" w:rsidRPr="00A73B6F">
        <w:rPr>
          <w:rFonts w:ascii="Segoe UI" w:eastAsia="Times New Roman" w:hAnsi="Segoe UI" w:cs="Segoe UI"/>
          <w:b/>
          <w:bCs/>
          <w:color w:val="24292E"/>
          <w:sz w:val="28"/>
          <w:szCs w:val="28"/>
          <w:shd w:val="clear" w:color="auto" w:fill="FFFFFF"/>
        </w:rPr>
        <w:t>Insertion of Sensitive Information into Log File</w:t>
      </w:r>
    </w:p>
    <w:p w14:paraId="138DF396" w14:textId="43F94D06" w:rsidR="00A73B6F" w:rsidRPr="00A73B6F" w:rsidRDefault="00A73B6F" w:rsidP="006771D8">
      <w:pPr>
        <w:jc w:val="both"/>
        <w:rPr>
          <w:rFonts w:ascii="Segoe UI" w:eastAsia="Times New Roman" w:hAnsi="Segoe UI" w:cs="Segoe UI"/>
          <w:color w:val="24292E"/>
          <w:sz w:val="20"/>
          <w:szCs w:val="20"/>
          <w:shd w:val="clear" w:color="auto" w:fill="FFFFFF"/>
        </w:rPr>
      </w:pPr>
      <w:r w:rsidRPr="00A73B6F">
        <w:rPr>
          <w:rFonts w:ascii="Segoe UI" w:eastAsia="Times New Roman" w:hAnsi="Segoe UI" w:cs="Segoe UI"/>
          <w:color w:val="24292E"/>
          <w:sz w:val="20"/>
          <w:szCs w:val="20"/>
          <w:shd w:val="clear" w:color="auto" w:fill="FFFFFF"/>
        </w:rPr>
        <w:t>&lt;&lt;</w:t>
      </w:r>
      <w:r w:rsidRPr="00A73B6F">
        <w:rPr>
          <w:sz w:val="20"/>
          <w:szCs w:val="20"/>
        </w:rPr>
        <w:t xml:space="preserve"> </w:t>
      </w:r>
      <w:r w:rsidRPr="00A73B6F">
        <w:rPr>
          <w:rFonts w:ascii="Segoe UI" w:eastAsia="Times New Roman" w:hAnsi="Segoe UI" w:cs="Segoe UI"/>
          <w:color w:val="24292E"/>
          <w:sz w:val="20"/>
          <w:szCs w:val="20"/>
          <w:shd w:val="clear" w:color="auto" w:fill="FFFFFF"/>
        </w:rPr>
        <w:t>https://cwe.mitre.org/data/definitions/532.html&gt;&gt;</w:t>
      </w:r>
    </w:p>
    <w:p w14:paraId="15CC86E5" w14:textId="68412654" w:rsidR="00D37494" w:rsidRDefault="00D37494" w:rsidP="006771D8">
      <w:pPr>
        <w:jc w:val="both"/>
        <w:rPr>
          <w:rFonts w:ascii="Segoe UI" w:eastAsia="Times New Roman" w:hAnsi="Segoe UI" w:cs="Segoe UI"/>
          <w:b/>
          <w:bCs/>
          <w:color w:val="24292E"/>
          <w:sz w:val="24"/>
          <w:szCs w:val="24"/>
          <w:shd w:val="clear" w:color="auto" w:fill="FFFFFF"/>
        </w:rPr>
      </w:pPr>
      <w:r>
        <w:rPr>
          <w:rFonts w:ascii="Cambria Math" w:eastAsia="Times New Roman" w:hAnsi="Cambria Math" w:cs="Segoe UI"/>
          <w:color w:val="24292E"/>
        </w:rPr>
        <w:t xml:space="preserve">Information in the log file can give valuable guidance to an attacker. Different log files can be used for different stages and can unconsciously report sensitive data. For example, server logs can give information on </w:t>
      </w:r>
      <w:r w:rsidR="00A73B6F">
        <w:rPr>
          <w:rFonts w:ascii="Cambria Math" w:eastAsia="Times New Roman" w:hAnsi="Cambria Math" w:cs="Segoe UI"/>
          <w:color w:val="24292E"/>
        </w:rPr>
        <w:t xml:space="preserve">the </w:t>
      </w:r>
      <w:r>
        <w:rPr>
          <w:rFonts w:ascii="Cambria Math" w:eastAsia="Times New Roman" w:hAnsi="Cambria Math" w:cs="Segoe UI"/>
          <w:color w:val="24292E"/>
        </w:rPr>
        <w:t xml:space="preserve">full path, </w:t>
      </w:r>
      <w:r w:rsidR="006771D8">
        <w:rPr>
          <w:rFonts w:ascii="Cambria Math" w:eastAsia="Times New Roman" w:hAnsi="Cambria Math" w:cs="Segoe UI"/>
          <w:color w:val="24292E"/>
        </w:rPr>
        <w:t>names,</w:t>
      </w:r>
      <w:r>
        <w:rPr>
          <w:rFonts w:ascii="Cambria Math" w:eastAsia="Times New Roman" w:hAnsi="Cambria Math" w:cs="Segoe UI"/>
          <w:color w:val="24292E"/>
        </w:rPr>
        <w:t xml:space="preserve"> and system information</w:t>
      </w:r>
      <w:r w:rsidR="00A73B6F">
        <w:rPr>
          <w:rFonts w:ascii="Cambria Math" w:eastAsia="Times New Roman" w:hAnsi="Cambria Math" w:cs="Segoe UI"/>
          <w:color w:val="24292E"/>
        </w:rPr>
        <w:t>,</w:t>
      </w:r>
      <w:r>
        <w:rPr>
          <w:rFonts w:ascii="Cambria Math" w:eastAsia="Times New Roman" w:hAnsi="Cambria Math" w:cs="Segoe UI"/>
          <w:color w:val="24292E"/>
        </w:rPr>
        <w:t xml:space="preserve"> and sometimes usernames and passwords. This type of weakness </w:t>
      </w:r>
      <w:r w:rsidR="00A73B6F">
        <w:rPr>
          <w:rFonts w:ascii="Cambria Math" w:eastAsia="Times New Roman" w:hAnsi="Cambria Math" w:cs="Segoe UI"/>
          <w:color w:val="24292E"/>
        </w:rPr>
        <w:t>is</w:t>
      </w:r>
      <w:r>
        <w:rPr>
          <w:rFonts w:ascii="Cambria Math" w:eastAsia="Times New Roman" w:hAnsi="Cambria Math" w:cs="Segoe UI"/>
          <w:color w:val="24292E"/>
        </w:rPr>
        <w:t xml:space="preserve"> </w:t>
      </w:r>
      <w:r w:rsidR="006771D8">
        <w:rPr>
          <w:rFonts w:ascii="Cambria Math" w:eastAsia="Times New Roman" w:hAnsi="Cambria Math" w:cs="Segoe UI"/>
          <w:color w:val="24292E"/>
        </w:rPr>
        <w:t>like</w:t>
      </w:r>
      <w:r>
        <w:rPr>
          <w:rFonts w:ascii="Cambria Math" w:eastAsia="Times New Roman" w:hAnsi="Cambria Math" w:cs="Segoe UI"/>
          <w:color w:val="24292E"/>
        </w:rPr>
        <w:t xml:space="preserve"> </w:t>
      </w:r>
      <w:r w:rsidRPr="00A73B6F">
        <w:rPr>
          <w:rFonts w:ascii="Cambria Math" w:eastAsia="Times New Roman" w:hAnsi="Cambria Math" w:cs="Segoe UI"/>
          <w:color w:val="4472C4" w:themeColor="accent1"/>
        </w:rPr>
        <w:t xml:space="preserve">CWE-538 </w:t>
      </w:r>
      <w:r>
        <w:rPr>
          <w:rFonts w:ascii="Cambria Math" w:eastAsia="Times New Roman" w:hAnsi="Cambria Math" w:cs="Segoe UI"/>
          <w:color w:val="24292E"/>
        </w:rPr>
        <w:t xml:space="preserve">Insertion of sensitive information into </w:t>
      </w:r>
      <w:r w:rsidR="00A73B6F">
        <w:rPr>
          <w:rFonts w:ascii="Cambria Math" w:eastAsia="Times New Roman" w:hAnsi="Cambria Math" w:cs="Segoe UI"/>
          <w:color w:val="24292E"/>
        </w:rPr>
        <w:t xml:space="preserve">an </w:t>
      </w:r>
      <w:r>
        <w:rPr>
          <w:rFonts w:ascii="Cambria Math" w:eastAsia="Times New Roman" w:hAnsi="Cambria Math" w:cs="Segoe UI"/>
          <w:color w:val="24292E"/>
        </w:rPr>
        <w:t xml:space="preserve">externally accessible file or directory. </w:t>
      </w:r>
      <w:r w:rsidRPr="00A73B6F">
        <w:rPr>
          <w:rFonts w:ascii="Cambria Math" w:eastAsia="Times New Roman" w:hAnsi="Cambria Math" w:cs="Segoe UI"/>
          <w:color w:val="4472C4" w:themeColor="accent1"/>
        </w:rPr>
        <w:t xml:space="preserve">CVE-2017-9615 </w:t>
      </w:r>
      <w:r>
        <w:rPr>
          <w:rFonts w:ascii="Cambria Math" w:eastAsia="Times New Roman" w:hAnsi="Cambria Math" w:cs="Segoe UI"/>
          <w:color w:val="24292E"/>
        </w:rPr>
        <w:t xml:space="preserve">and </w:t>
      </w:r>
      <w:r w:rsidRPr="00A73B6F">
        <w:rPr>
          <w:rFonts w:ascii="Cambria Math" w:eastAsia="Times New Roman" w:hAnsi="Cambria Math" w:cs="Segoe UI"/>
          <w:color w:val="4472C4" w:themeColor="accent1"/>
        </w:rPr>
        <w:t xml:space="preserve">CVE-2018-19999036 </w:t>
      </w:r>
      <w:r>
        <w:rPr>
          <w:rFonts w:ascii="Cambria Math" w:eastAsia="Times New Roman" w:hAnsi="Cambria Math" w:cs="Segoe UI"/>
          <w:color w:val="24292E"/>
        </w:rPr>
        <w:t xml:space="preserve">are the related vulnerabilities resulting from this weakness. </w:t>
      </w:r>
      <w:r w:rsidRPr="00A73B6F">
        <w:rPr>
          <w:rFonts w:ascii="Cambria Math" w:eastAsia="Times New Roman" w:hAnsi="Cambria Math" w:cs="Segoe UI"/>
          <w:color w:val="4472C4" w:themeColor="accent1"/>
        </w:rPr>
        <w:t xml:space="preserve">CAPEC-215 </w:t>
      </w:r>
      <w:r>
        <w:rPr>
          <w:rFonts w:ascii="Cambria Math" w:eastAsia="Times New Roman" w:hAnsi="Cambria Math" w:cs="Segoe UI"/>
          <w:color w:val="24292E"/>
        </w:rPr>
        <w:t>holds more information on attack patterns.</w:t>
      </w:r>
    </w:p>
    <w:p w14:paraId="6B47B30E" w14:textId="77777777" w:rsidR="00A73B6F" w:rsidRDefault="00A73B6F" w:rsidP="006771D8">
      <w:pPr>
        <w:spacing w:after="0" w:line="240" w:lineRule="auto"/>
        <w:jc w:val="both"/>
        <w:rPr>
          <w:rStyle w:val="Hyperlink"/>
          <w:rFonts w:ascii="Helvetica" w:hAnsi="Helvetica" w:cs="Helvetica"/>
          <w:color w:val="4B9FD5"/>
          <w:sz w:val="28"/>
          <w:szCs w:val="28"/>
          <w:shd w:val="clear" w:color="auto" w:fill="FFFFFF"/>
        </w:rPr>
      </w:pPr>
    </w:p>
    <w:p w14:paraId="776CE32D" w14:textId="38AD06F7" w:rsidR="00D37494" w:rsidRDefault="001C13E6" w:rsidP="006771D8">
      <w:pPr>
        <w:spacing w:after="0" w:line="240" w:lineRule="auto"/>
        <w:jc w:val="both"/>
        <w:rPr>
          <w:rFonts w:ascii="Segoe UI" w:eastAsia="Times New Roman" w:hAnsi="Segoe UI" w:cs="Segoe UI"/>
          <w:b/>
          <w:bCs/>
          <w:color w:val="24292E"/>
          <w:sz w:val="28"/>
          <w:szCs w:val="28"/>
          <w:shd w:val="clear" w:color="auto" w:fill="FFFFFF"/>
        </w:rPr>
      </w:pPr>
      <w:hyperlink r:id="rId5" w:history="1">
        <w:r w:rsidR="00D37494" w:rsidRPr="00EE75A5">
          <w:rPr>
            <w:rStyle w:val="Hyperlink"/>
            <w:rFonts w:ascii="Helvetica" w:hAnsi="Helvetica" w:cs="Helvetica"/>
            <w:color w:val="4B9FD5"/>
            <w:sz w:val="28"/>
            <w:szCs w:val="28"/>
          </w:rPr>
          <w:t>CWE-117</w:t>
        </w:r>
      </w:hyperlink>
      <w:r w:rsidR="00D37494" w:rsidRPr="00EE75A5">
        <w:rPr>
          <w:rFonts w:ascii="Segoe UI" w:eastAsia="Times New Roman" w:hAnsi="Segoe UI" w:cs="Segoe UI"/>
          <w:color w:val="24292E"/>
          <w:sz w:val="24"/>
          <w:szCs w:val="24"/>
          <w:shd w:val="clear" w:color="auto" w:fill="FFFFFF"/>
        </w:rPr>
        <w:t>: </w:t>
      </w:r>
      <w:r w:rsidR="00D37494" w:rsidRPr="00EE75A5">
        <w:rPr>
          <w:rFonts w:ascii="Segoe UI" w:eastAsia="Times New Roman" w:hAnsi="Segoe UI" w:cs="Segoe UI"/>
          <w:b/>
          <w:bCs/>
          <w:color w:val="24292E"/>
          <w:sz w:val="28"/>
          <w:szCs w:val="28"/>
          <w:shd w:val="clear" w:color="auto" w:fill="FFFFFF"/>
        </w:rPr>
        <w:t>Improper output neutralization for Logs</w:t>
      </w:r>
    </w:p>
    <w:p w14:paraId="60F0F457" w14:textId="7DF6461E" w:rsidR="00A73B6F" w:rsidRPr="00EE75A5" w:rsidRDefault="00A73B6F" w:rsidP="006771D8">
      <w:pPr>
        <w:jc w:val="both"/>
        <w:rPr>
          <w:rFonts w:ascii="Segoe UI" w:eastAsia="Times New Roman" w:hAnsi="Segoe UI" w:cs="Segoe UI"/>
          <w:color w:val="24292E"/>
          <w:sz w:val="20"/>
          <w:szCs w:val="20"/>
          <w:shd w:val="clear" w:color="auto" w:fill="FFFFFF"/>
        </w:rPr>
      </w:pPr>
      <w:r w:rsidRPr="00A73B6F">
        <w:rPr>
          <w:rFonts w:ascii="Segoe UI" w:eastAsia="Times New Roman" w:hAnsi="Segoe UI" w:cs="Segoe UI"/>
          <w:color w:val="24292E"/>
          <w:sz w:val="20"/>
          <w:szCs w:val="20"/>
          <w:shd w:val="clear" w:color="auto" w:fill="FFFFFF"/>
        </w:rPr>
        <w:t>&lt;&lt; https://cwe.mitre.org/data/definitions/117.html&gt;&gt;</w:t>
      </w:r>
    </w:p>
    <w:p w14:paraId="2754357A" w14:textId="4C5F3AC1" w:rsidR="00D37494" w:rsidRDefault="00D37494" w:rsidP="006771D8">
      <w:pPr>
        <w:jc w:val="both"/>
        <w:rPr>
          <w:rFonts w:ascii="Cambria Math" w:eastAsia="Times New Roman" w:hAnsi="Cambria Math" w:cs="Segoe UI"/>
          <w:color w:val="24292E"/>
        </w:rPr>
      </w:pPr>
      <w:r>
        <w:rPr>
          <w:rFonts w:ascii="Cambria Math" w:eastAsia="Times New Roman" w:hAnsi="Cambria Math" w:cs="Segoe UI"/>
          <w:color w:val="24292E"/>
        </w:rPr>
        <w:t xml:space="preserve">This can allow an attacker to forge log entries or inject malicious content into logs. This happens when data enters an application from an untrusted source or when data is written to an application or system log file. This type of weakness is </w:t>
      </w:r>
      <w:r w:rsidR="00A73B6F">
        <w:rPr>
          <w:rFonts w:ascii="Cambria Math" w:eastAsia="Times New Roman" w:hAnsi="Cambria Math" w:cs="Segoe UI"/>
          <w:color w:val="24292E"/>
        </w:rPr>
        <w:t>related to</w:t>
      </w:r>
      <w:r w:rsidRPr="00A73B6F">
        <w:rPr>
          <w:rFonts w:ascii="Cambria Math" w:eastAsia="Times New Roman" w:hAnsi="Cambria Math" w:cs="Segoe UI"/>
          <w:color w:val="4472C4" w:themeColor="accent1"/>
        </w:rPr>
        <w:t xml:space="preserve"> CWE-116</w:t>
      </w:r>
      <w:r>
        <w:rPr>
          <w:rFonts w:ascii="Cambria Math" w:eastAsia="Times New Roman" w:hAnsi="Cambria Math" w:cs="Segoe UI"/>
          <w:color w:val="24292E"/>
        </w:rPr>
        <w:t xml:space="preserve">(Improper Encoding or Escaping of Output) and can lead to </w:t>
      </w:r>
      <w:r w:rsidRPr="00A73B6F">
        <w:rPr>
          <w:rFonts w:ascii="Cambria Math" w:eastAsia="Times New Roman" w:hAnsi="Cambria Math" w:cs="Segoe UI"/>
          <w:color w:val="4472C4" w:themeColor="accent1"/>
        </w:rPr>
        <w:t>CWE-93</w:t>
      </w:r>
      <w:r>
        <w:rPr>
          <w:rFonts w:ascii="Cambria Math" w:eastAsia="Times New Roman" w:hAnsi="Cambria Math" w:cs="Segoe UI"/>
          <w:color w:val="24292E"/>
        </w:rPr>
        <w:t xml:space="preserve">(Improper Neutralization of CRLF sequences-CRLF Injection). We can see these related vulnerabilities in </w:t>
      </w:r>
      <w:hyperlink r:id="rId6" w:tgtFrame="_blank" w:history="1">
        <w:r w:rsidRPr="00A73B6F">
          <w:rPr>
            <w:rFonts w:ascii="Cambria Math" w:eastAsia="Times New Roman" w:hAnsi="Cambria Math" w:cs="Segoe UI"/>
            <w:color w:val="4472C4" w:themeColor="accent1"/>
          </w:rPr>
          <w:t>CVE-2006-4624</w:t>
        </w:r>
      </w:hyperlink>
      <w:r w:rsidRPr="00A73B6F">
        <w:rPr>
          <w:rFonts w:ascii="Cambria Math" w:eastAsia="Times New Roman" w:hAnsi="Cambria Math" w:cs="Segoe UI"/>
          <w:color w:val="24292E"/>
        </w:rPr>
        <w:t>.</w:t>
      </w:r>
      <w:r w:rsidR="006771D8">
        <w:rPr>
          <w:rFonts w:ascii="Cambria Math" w:eastAsia="Times New Roman" w:hAnsi="Cambria Math" w:cs="Segoe UI"/>
          <w:color w:val="24292E"/>
        </w:rPr>
        <w:t xml:space="preserve"> </w:t>
      </w:r>
      <w:r w:rsidRPr="00A73B6F">
        <w:rPr>
          <w:rFonts w:ascii="Cambria Math" w:eastAsia="Times New Roman" w:hAnsi="Cambria Math" w:cs="Segoe UI"/>
          <w:color w:val="24292E"/>
        </w:rPr>
        <w:t xml:space="preserve">Related attack patterns </w:t>
      </w:r>
      <w:r w:rsidRPr="00A73B6F">
        <w:rPr>
          <w:rFonts w:ascii="Cambria Math" w:eastAsia="Times New Roman" w:hAnsi="Cambria Math" w:cs="Segoe UI"/>
          <w:color w:val="4472C4" w:themeColor="accent1"/>
        </w:rPr>
        <w:t xml:space="preserve">show </w:t>
      </w:r>
      <w:hyperlink r:id="rId7" w:tgtFrame="_blank" w:history="1">
        <w:r w:rsidRPr="00A73B6F">
          <w:rPr>
            <w:rFonts w:ascii="Cambria Math" w:eastAsia="Times New Roman" w:hAnsi="Cambria Math" w:cs="Segoe UI"/>
            <w:color w:val="4472C4" w:themeColor="accent1"/>
          </w:rPr>
          <w:t>CAPEC-268</w:t>
        </w:r>
      </w:hyperlink>
      <w:r w:rsidRPr="00A73B6F">
        <w:rPr>
          <w:rFonts w:ascii="Cambria Math" w:eastAsia="Times New Roman" w:hAnsi="Cambria Math" w:cs="Segoe UI"/>
          <w:color w:val="24292E"/>
        </w:rPr>
        <w:t>(audit log manipulation)</w:t>
      </w:r>
      <w:r w:rsidR="006771D8">
        <w:rPr>
          <w:rFonts w:ascii="Cambria Math" w:eastAsia="Times New Roman" w:hAnsi="Cambria Math" w:cs="Segoe UI"/>
          <w:color w:val="24292E"/>
        </w:rPr>
        <w:t xml:space="preserve"> </w:t>
      </w:r>
      <w:hyperlink r:id="rId8" w:tgtFrame="_blank" w:history="1">
        <w:r w:rsidRPr="00A73B6F">
          <w:rPr>
            <w:rFonts w:ascii="Cambria Math" w:eastAsia="Times New Roman" w:hAnsi="Cambria Math" w:cs="Segoe UI"/>
            <w:color w:val="4472C4" w:themeColor="accent1"/>
          </w:rPr>
          <w:t>CAPEC-81</w:t>
        </w:r>
      </w:hyperlink>
      <w:r w:rsidRPr="00A73B6F">
        <w:rPr>
          <w:rFonts w:ascii="Cambria Math" w:eastAsia="Times New Roman" w:hAnsi="Cambria Math" w:cs="Segoe UI"/>
          <w:color w:val="24292E"/>
        </w:rPr>
        <w:t>(weblogs tampering)</w:t>
      </w:r>
      <w:r w:rsidR="00A73B6F">
        <w:rPr>
          <w:rFonts w:ascii="Cambria Math" w:eastAsia="Times New Roman" w:hAnsi="Cambria Math" w:cs="Segoe UI"/>
          <w:color w:val="24292E"/>
        </w:rPr>
        <w:t xml:space="preserve"> </w:t>
      </w:r>
      <w:r w:rsidRPr="00A73B6F">
        <w:rPr>
          <w:rFonts w:ascii="Cambria Math" w:eastAsia="Times New Roman" w:hAnsi="Cambria Math" w:cs="Segoe UI"/>
          <w:color w:val="24292E"/>
        </w:rPr>
        <w:t xml:space="preserve">and </w:t>
      </w:r>
      <w:r w:rsidRPr="00A73B6F">
        <w:rPr>
          <w:rFonts w:ascii="Cambria Math" w:eastAsia="Times New Roman" w:hAnsi="Cambria Math" w:cs="Segoe UI"/>
          <w:color w:val="4472C4" w:themeColor="accent1"/>
        </w:rPr>
        <w:t>CAPEC-93(</w:t>
      </w:r>
      <w:r w:rsidRPr="00A73B6F">
        <w:rPr>
          <w:rFonts w:ascii="Cambria Math" w:eastAsia="Times New Roman" w:hAnsi="Cambria Math" w:cs="Segoe UI"/>
          <w:color w:val="24292E"/>
        </w:rPr>
        <w:t>Log Injection-Tampering-Forging).</w:t>
      </w:r>
    </w:p>
    <w:p w14:paraId="6494542C" w14:textId="77777777" w:rsidR="00D37494" w:rsidRDefault="00D37494" w:rsidP="006771D8">
      <w:pPr>
        <w:jc w:val="both"/>
        <w:rPr>
          <w:rFonts w:ascii="Cambria Math" w:eastAsia="Times New Roman" w:hAnsi="Cambria Math" w:cs="Segoe UI"/>
          <w:color w:val="24292E"/>
        </w:rPr>
      </w:pPr>
    </w:p>
    <w:p w14:paraId="296E076F" w14:textId="39C542F0" w:rsidR="00D37494" w:rsidRDefault="00D37494" w:rsidP="006771D8">
      <w:pPr>
        <w:jc w:val="both"/>
        <w:rPr>
          <w:rFonts w:ascii="Segoe UI" w:eastAsia="Times New Roman" w:hAnsi="Segoe UI" w:cs="Segoe UI"/>
          <w:b/>
          <w:bCs/>
          <w:color w:val="24292E"/>
          <w:sz w:val="28"/>
          <w:szCs w:val="28"/>
          <w:shd w:val="clear" w:color="auto" w:fill="FFFFFF"/>
        </w:rPr>
      </w:pPr>
      <w:r w:rsidRPr="00A73B6F">
        <w:rPr>
          <w:rStyle w:val="Hyperlink"/>
          <w:rFonts w:ascii="Helvetica" w:hAnsi="Helvetica" w:cs="Helvetica"/>
          <w:color w:val="4B9FD5"/>
          <w:sz w:val="28"/>
          <w:szCs w:val="28"/>
        </w:rPr>
        <w:t>CWE-778</w:t>
      </w:r>
      <w:r w:rsidR="00A73B6F">
        <w:rPr>
          <w:rFonts w:ascii="Cambria Math" w:eastAsia="Times New Roman" w:hAnsi="Cambria Math" w:cs="Segoe UI"/>
          <w:color w:val="24292E"/>
        </w:rPr>
        <w:t xml:space="preserve">: </w:t>
      </w:r>
      <w:r w:rsidRPr="00A73B6F">
        <w:rPr>
          <w:rFonts w:ascii="Segoe UI" w:eastAsia="Times New Roman" w:hAnsi="Segoe UI" w:cs="Segoe UI"/>
          <w:b/>
          <w:bCs/>
          <w:color w:val="24292E"/>
          <w:sz w:val="28"/>
          <w:szCs w:val="28"/>
          <w:shd w:val="clear" w:color="auto" w:fill="FFFFFF"/>
        </w:rPr>
        <w:t>Insufficient Logging</w:t>
      </w:r>
    </w:p>
    <w:p w14:paraId="520AB0F0" w14:textId="31F02D0D" w:rsidR="00A73B6F" w:rsidRPr="00A73B6F" w:rsidRDefault="00A73B6F" w:rsidP="006771D8">
      <w:pPr>
        <w:jc w:val="both"/>
        <w:rPr>
          <w:rFonts w:ascii="Segoe UI" w:eastAsia="Times New Roman" w:hAnsi="Segoe UI" w:cs="Segoe UI"/>
          <w:color w:val="24292E"/>
          <w:sz w:val="20"/>
          <w:szCs w:val="20"/>
          <w:shd w:val="clear" w:color="auto" w:fill="FFFFFF"/>
        </w:rPr>
      </w:pPr>
      <w:r w:rsidRPr="00A73B6F">
        <w:rPr>
          <w:rFonts w:ascii="Segoe UI" w:eastAsia="Times New Roman" w:hAnsi="Segoe UI" w:cs="Segoe UI"/>
          <w:color w:val="24292E"/>
          <w:sz w:val="20"/>
          <w:szCs w:val="20"/>
          <w:shd w:val="clear" w:color="auto" w:fill="FFFFFF"/>
        </w:rPr>
        <w:t>&lt;&lt; https://cwe.mitre.org/data/definitions/778.html&gt;&gt;</w:t>
      </w:r>
    </w:p>
    <w:p w14:paraId="7D1FF2EE" w14:textId="549B7CCD" w:rsidR="00D37494" w:rsidRDefault="00D37494" w:rsidP="006771D8">
      <w:pPr>
        <w:jc w:val="both"/>
        <w:rPr>
          <w:rFonts w:ascii="Cambria Math" w:eastAsia="Times New Roman" w:hAnsi="Cambria Math" w:cs="Segoe UI"/>
          <w:color w:val="24292E"/>
        </w:rPr>
      </w:pPr>
      <w:r>
        <w:rPr>
          <w:rFonts w:ascii="Cambria Math" w:eastAsia="Times New Roman" w:hAnsi="Cambria Math" w:cs="Segoe UI"/>
          <w:color w:val="24292E"/>
        </w:rPr>
        <w:t xml:space="preserve"> </w:t>
      </w:r>
      <w:r w:rsidR="006771D8">
        <w:rPr>
          <w:rFonts w:ascii="Cambria Math" w:eastAsia="Times New Roman" w:hAnsi="Cambria Math" w:cs="Segoe UI"/>
          <w:color w:val="24292E"/>
        </w:rPr>
        <w:t>This type of issue</w:t>
      </w:r>
      <w:r>
        <w:rPr>
          <w:rFonts w:ascii="Cambria Math" w:eastAsia="Times New Roman" w:hAnsi="Cambria Math" w:cs="Segoe UI"/>
          <w:color w:val="24292E"/>
        </w:rPr>
        <w:t xml:space="preserve"> occurs when software either does not record the event or omits important details about the event when logging it. If security-critical events such as failed login attempt</w:t>
      </w:r>
      <w:r w:rsidR="00A73B6F">
        <w:rPr>
          <w:rFonts w:ascii="Cambria Math" w:eastAsia="Times New Roman" w:hAnsi="Cambria Math" w:cs="Segoe UI"/>
          <w:color w:val="24292E"/>
        </w:rPr>
        <w:t>s</w:t>
      </w:r>
      <w:r>
        <w:rPr>
          <w:rFonts w:ascii="Cambria Math" w:eastAsia="Times New Roman" w:hAnsi="Cambria Math" w:cs="Segoe UI"/>
          <w:color w:val="24292E"/>
        </w:rPr>
        <w:t xml:space="preserve"> are not logged properly, this can make malicious behavior more difficult to detect and can hinder analysis. This weakness is related</w:t>
      </w:r>
      <w:r w:rsidR="00A73B6F">
        <w:rPr>
          <w:rFonts w:ascii="Cambria Math" w:eastAsia="Times New Roman" w:hAnsi="Cambria Math" w:cs="Segoe UI"/>
          <w:color w:val="24292E"/>
        </w:rPr>
        <w:t xml:space="preserve"> to</w:t>
      </w:r>
      <w:r w:rsidRPr="00A73B6F">
        <w:rPr>
          <w:rFonts w:ascii="Cambria Math" w:eastAsia="Times New Roman" w:hAnsi="Cambria Math" w:cs="Segoe UI"/>
          <w:color w:val="4472C4" w:themeColor="accent1"/>
        </w:rPr>
        <w:t xml:space="preserve"> CWE-223</w:t>
      </w:r>
      <w:r>
        <w:rPr>
          <w:rFonts w:ascii="Cambria Math" w:eastAsia="Times New Roman" w:hAnsi="Cambria Math" w:cs="Segoe UI"/>
          <w:color w:val="24292E"/>
        </w:rPr>
        <w:t xml:space="preserve"> omission of security-relev</w:t>
      </w:r>
      <w:r w:rsidR="00A73B6F">
        <w:rPr>
          <w:rFonts w:ascii="Cambria Math" w:eastAsia="Times New Roman" w:hAnsi="Cambria Math" w:cs="Segoe UI"/>
          <w:color w:val="24292E"/>
        </w:rPr>
        <w:t>a</w:t>
      </w:r>
      <w:r>
        <w:rPr>
          <w:rFonts w:ascii="Cambria Math" w:eastAsia="Times New Roman" w:hAnsi="Cambria Math" w:cs="Segoe UI"/>
          <w:color w:val="24292E"/>
        </w:rPr>
        <w:t xml:space="preserve">nt Information. This type of weakness can lead to </w:t>
      </w:r>
      <w:r w:rsidRPr="00A73B6F">
        <w:rPr>
          <w:rFonts w:ascii="Cambria Math" w:eastAsia="Times New Roman" w:hAnsi="Cambria Math" w:cs="Segoe UI"/>
          <w:color w:val="4472C4" w:themeColor="accent1"/>
        </w:rPr>
        <w:t>CVE_2008-4315, CVE-2008-1203</w:t>
      </w:r>
      <w:r>
        <w:rPr>
          <w:rFonts w:ascii="Cambria Math" w:eastAsia="Times New Roman" w:hAnsi="Cambria Math" w:cs="Segoe UI"/>
          <w:color w:val="24292E"/>
        </w:rPr>
        <w:t xml:space="preserve"> vulnerabilities.</w:t>
      </w:r>
    </w:p>
    <w:p w14:paraId="4DB78AD9" w14:textId="77777777" w:rsidR="00D37494" w:rsidRPr="009E2228" w:rsidRDefault="00D37494" w:rsidP="006771D8">
      <w:pPr>
        <w:jc w:val="both"/>
        <w:rPr>
          <w:rFonts w:ascii="Cambria Math" w:eastAsia="Times New Roman" w:hAnsi="Cambria Math" w:cs="Segoe UI"/>
          <w:color w:val="24292E"/>
        </w:rPr>
      </w:pPr>
    </w:p>
    <w:p w14:paraId="15568060" w14:textId="77777777" w:rsidR="00D37494" w:rsidRDefault="00D37494" w:rsidP="006771D8">
      <w:pPr>
        <w:jc w:val="both"/>
      </w:pPr>
      <w:r>
        <w:t xml:space="preserve"> </w:t>
      </w:r>
    </w:p>
    <w:p w14:paraId="328798AD" w14:textId="77777777" w:rsidR="00D37494" w:rsidRDefault="00D37494" w:rsidP="006771D8">
      <w:pPr>
        <w:jc w:val="both"/>
      </w:pPr>
    </w:p>
    <w:p w14:paraId="1BE53FF2" w14:textId="77777777" w:rsidR="0077519A" w:rsidRDefault="0077519A" w:rsidP="006771D8">
      <w:pPr>
        <w:jc w:val="both"/>
      </w:pPr>
    </w:p>
    <w:sectPr w:rsidR="0077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MDU1tDC3NDa3MDZW0lEKTi0uzszPAykwqgUAHULnXCwAAAA="/>
  </w:docVars>
  <w:rsids>
    <w:rsidRoot w:val="00D26C43"/>
    <w:rsid w:val="001C13E6"/>
    <w:rsid w:val="0025366F"/>
    <w:rsid w:val="006771D8"/>
    <w:rsid w:val="0077519A"/>
    <w:rsid w:val="008C0F52"/>
    <w:rsid w:val="00A73B6F"/>
    <w:rsid w:val="00D26C43"/>
    <w:rsid w:val="00D3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D805"/>
  <w15:chartTrackingRefBased/>
  <w15:docId w15:val="{B0F28926-DE87-479D-B131-B49BC0B5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494"/>
    <w:rPr>
      <w:color w:val="0000FF"/>
      <w:u w:val="single"/>
    </w:rPr>
  </w:style>
  <w:style w:type="character" w:styleId="UnresolvedMention">
    <w:name w:val="Unresolved Mention"/>
    <w:basedOn w:val="DefaultParagraphFont"/>
    <w:uiPriority w:val="99"/>
    <w:semiHidden/>
    <w:unhideWhenUsed/>
    <w:rsid w:val="008C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ec.mitre.org/data/definitions/81.html" TargetMode="External"/><Relationship Id="rId3" Type="http://schemas.openxmlformats.org/officeDocument/2006/relationships/webSettings" Target="webSettings.xml"/><Relationship Id="rId7" Type="http://schemas.openxmlformats.org/officeDocument/2006/relationships/hyperlink" Target="http://capec.mitre.org/data/definitions/26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ve.mitre.org/cgi-bin/cvename.cgi?name=CVE-2006-4624" TargetMode="External"/><Relationship Id="rId5" Type="http://schemas.openxmlformats.org/officeDocument/2006/relationships/hyperlink" Target="https://cwe.mitre.org/data/definitions/117.html" TargetMode="External"/><Relationship Id="rId10" Type="http://schemas.openxmlformats.org/officeDocument/2006/relationships/theme" Target="theme/theme1.xml"/><Relationship Id="rId4" Type="http://schemas.openxmlformats.org/officeDocument/2006/relationships/hyperlink" Target="https://cwe.mitre.org/data/definitions/532.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Babu Chethan</dc:creator>
  <cp:keywords/>
  <dc:description/>
  <cp:lastModifiedBy>Reshma Babu Chethan</cp:lastModifiedBy>
  <cp:revision>7</cp:revision>
  <dcterms:created xsi:type="dcterms:W3CDTF">2020-12-06T05:18:00Z</dcterms:created>
  <dcterms:modified xsi:type="dcterms:W3CDTF">2020-12-06T07:15:00Z</dcterms:modified>
</cp:coreProperties>
</file>