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Share the project on - </w:t>
      </w:r>
      <w:hyperlink r:id="rId6">
        <w:r w:rsidDel="00000000" w:rsidR="00000000" w:rsidRPr="00000000">
          <w:rPr>
            <w:b w:val="1"/>
            <w:bCs w:val="1"/>
            <w:color w:val="073763"/>
            <w:sz w:val="24"/>
            <w:szCs w:val="24"/>
            <w:u w:val="single"/>
            <w:rtl w:val="0"/>
          </w:rPr>
          <w:t xml:space="preserve">lbcapstone.project@gmail.com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Deadline: 31/05/2026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DATA DICTIONARY – Coca-Cola Retail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proper dictionary based on the headers found in row 4 of your file (the actual column names).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0"/>
        <w:gridCol w:w="5050.717703349282"/>
        <w:gridCol w:w="2229.282296650718"/>
        <w:tblGridChange w:id="0">
          <w:tblGrid>
            <w:gridCol w:w="2080"/>
            <w:gridCol w:w="5050.717703349282"/>
            <w:gridCol w:w="2229.2822966507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Name of the retailer selling Coca-Cola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Retailer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identification code for the retailer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Numeric /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Date of purchase or sale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Geographic region (ex: Northeast, Midwest,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U.S. state where sale occurred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City where sale occurred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Beverage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Coca-Cola product brand (Coke, Sprite, Fanta,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per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Selling price of one unit of the beverage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Decimal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Total units sold in that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Revenue from the transaction (Price × Units Sold)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Decimal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Profit earned after operating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Decimal Number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Operating profit ÷ total sales (profitability measure)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Decimal / Percentage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Recommendations For Analysis: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KPI Dashboard 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Total Sales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Total Units Sold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Avg Price per Unit</w:t>
        <w:br w:type="textWrapping"/>
        <w:t xml:space="preserve">Operating Profit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Operating Margin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Top 5 Brands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Top 5 Retailers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Best Region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/>
      </w:pPr>
      <w:bookmarkStart w:colFirst="0" w:colLast="0" w:name="_dtpf6glnempc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Sales 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beverages generate the highest sales?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retailer sells the most volume?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months have the highest/lowest sales?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Analysis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Identify best-selling Coca-Cola brands (Coke, Sprite, Fanta, etc.)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Compare profitability by Products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Regional &amp; Geographic Performance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Top-performing regions (Northeast, West, etc.)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bcapstone.projec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