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CenterHeader"/>
      </w:pPr>
      <w:r>
        <w:rPr>
          <w:rStyle w:val="CenterBold"/>
        </w:rPr>
        <w:t xml:space="preserve">RESOLUTION NO. </w:t>
      </w:r>
      <w:r>
        <w:rPr>
          <w:sz w:val="20"/>
          <w:szCs w:val="20"/>
          <w:b w:val="1"/>
          <w:bCs w:val="1"/>
          <w:smallCaps w:val="0"/>
          <w:caps w:val="1"/>
          <w:u w:val="single"/>
        </w:rPr>
        <w:t xml:space="preserve">RES-0926-0001</w:t>
      </w:r>
    </w:p>
    <w:p>
      <w:pPr>
        <w:pStyle w:val="CenterHeader"/>
      </w:pPr>
      <w:r>
        <w:rPr>
          <w:rStyle w:val="CenterBold"/>
        </w:rPr>
        <w:t xml:space="preserve">A RESOLUTION RECOMMENDING SMALL VALUE PROCUREMENT UNDER SECTION NO.53.9, OF THE 2016 REVISED IMPLEMENTING RULES AND REGULATIONS OF R.A. 9184,</w:t>
      </w:r>
      <w:br/>
      <w:r>
        <w:rPr>
          <w:rStyle w:val="CenterBold"/>
        </w:rPr>
        <w:t xml:space="preserve">For Purchase Request Number </w:t>
      </w:r>
      <w:r>
        <w:rPr>
          <w:sz w:val="20"/>
          <w:szCs w:val="20"/>
          <w:b w:val="1"/>
          <w:bCs w:val="1"/>
          <w:smallCaps w:val="0"/>
          <w:caps w:val="1"/>
          <w:u w:val="single"/>
        </w:rPr>
        <w:t xml:space="preserve">PR-0926-0001</w:t>
      </w:r>
    </w:p>
    <w:p>
      <w:pPr>
        <w:jc w:val="both"/>
      </w:pPr>
      <w:r>
        <w:rPr/>
        <w:t xml:space="preserve">WHEREAS, it is the function of the Bids and Awards Committee to assist and to ensure that the university abides by the standards set forth by Republic Act No. 9184, otherwise known as </w:t>
      </w:r>
      <w:r>
        <w:rPr>
          <w:i w:val="1"/>
          <w:iCs w:val="1"/>
        </w:rPr>
        <w:t xml:space="preserve">"The Government Procurement Reform Act"</w:t>
      </w:r>
      <w:r>
        <w:rPr/>
        <w:t xml:space="preserve"> (As Amended) and its Implementing Rules and Regulations, to all its procurement activities;</w:t>
      </w:r>
    </w:p>
    <w:p>
      <w:pPr>
        <w:jc w:val="both"/>
      </w:pPr>
      <w:r>
        <w:rPr/>
        <w:t xml:space="preserve">WHEREAS, items covered by </w:t>
      </w:r>
      <w:r>
        <w:rPr>
          <w:b w:val="1"/>
          <w:bCs w:val="1"/>
        </w:rPr>
        <w:t xml:space="preserve">Purchase Request No. </w:t>
      </w:r>
      <w:r>
        <w:rPr>
          <w:rStyle w:val="UnderlineBold"/>
        </w:rPr>
        <w:t xml:space="preserve">PR-0926-0001</w:t>
      </w:r>
      <w:r>
        <w:rPr/>
        <w:t xml:space="preserve"> duly approved by </w:t>
      </w:r>
      <w:r>
        <w:rPr>
          <w:rStyle w:val="CenterBold"/>
        </w:rPr>
        <w:t xml:space="preserve">Rodel Francisco T. Alegado</w:t>
      </w:r>
      <w:r>
        <w:rPr/>
        <w:t xml:space="preserve">, requested by </w:t>
      </w:r>
      <w:r>
        <w:rPr>
          <w:rStyle w:val="CenterBold"/>
        </w:rPr>
        <w:t xml:space="preserve">Dr. Manny S. Alipio</w:t>
      </w:r>
      <w:r>
        <w:rPr/>
        <w:t xml:space="preserve"> has an Approved Budget for the Contract (ABC) in the amount of </w:t>
      </w:r>
      <w:r>
        <w:rPr>
          <w:rStyle w:val="CenterBold"/>
        </w:rPr>
        <w:t xml:space="preserve">One thousand pesos (PHP 1,000.00)</w:t>
      </w:r>
      <w:r>
        <w:rPr>
          <w:rStyle w:val="CenterBold"/>
        </w:rPr>
        <w:t xml:space="preserve">, For resupply.</w:t>
      </w:r>
    </w:p>
    <w:p>
      <w:pPr>
        <w:jc w:val="both"/>
      </w:pPr>
      <w:r>
        <w:rPr/>
        <w:t xml:space="preserve">WHEREAS, the Bids and Awards Committee recognizes the intent of the Procurement law that all procurement activities of the government must redound to its benefit;</w:t>
      </w:r>
    </w:p>
    <w:p>
      <w:pPr>
        <w:jc w:val="both"/>
      </w:pPr>
      <w:r>
        <w:rPr/>
        <w:t xml:space="preserve">WHEREAS, under certain circumstances the law provides exemption to Public Bidding, as it also provides for Alternative Methods of procurement, particularly identified in Section 53.9 of the IRR, TO WIT:</w:t>
      </w:r>
    </w:p>
    <w:p>
      <w:pPr>
        <w:jc w:val="both"/>
        <w:ind w:left="720" w:right="0" w:firstLine="0" w:hanging="0"/>
      </w:pPr>
      <w:r>
        <w:rPr>
          <w:b w:val="1"/>
          <w:bCs w:val="1"/>
        </w:rPr>
        <w:t xml:space="preserve">Small Value Procurement.</w:t>
      </w:r>
      <w:r>
        <w:rPr>
          <w:i w:val="1"/>
          <w:iCs w:val="1"/>
        </w:rPr>
        <w:t xml:space="preserve"> Where the procurement does not fall under Shopping in Section 52 of this IRR and the amount involved does not exceed the thresholds prescribed in Annex "H" of this IRR.</w:t>
      </w:r>
    </w:p>
    <w:p>
      <w:pPr>
        <w:jc w:val="both"/>
        <w:spacing w:after="0"/>
      </w:pPr>
      <w:r>
        <w:rPr/>
        <w:t xml:space="preserve">WHEREAS, Section 52.1(b) of IRR identifies the goods that could be produced through Shopping:</w:t>
      </w:r>
    </w:p>
    <w:p>
      <w:pPr>
        <w:jc w:val="both"/>
        <w:ind w:left="720" w:right="0" w:firstLine="0" w:hanging="0"/>
        <w:spacing w:before="0"/>
      </w:pPr>
      <w:r>
        <w:rPr>
          <w:i w:val="1"/>
          <w:iCs w:val="1"/>
        </w:rPr>
        <w:t xml:space="preserve">Procurement of Ordinary or Regular office supplies and equipment not available in the thresholds prescribed in Annex "H" of this IRR.</w:t>
      </w:r>
    </w:p>
    <w:p>
      <w:pPr>
        <w:jc w:val="both"/>
        <w:spacing w:after="0"/>
      </w:pPr>
      <w:r>
        <w:rPr/>
        <w:t xml:space="preserve">WHEREAS, Section 52.2 of the IRR defines the phrase "ordinary or regular office supplies", to wit:</w:t>
      </w:r>
    </w:p>
    <w:p>
      <w:pPr>
        <w:jc w:val="both"/>
        <w:ind w:left="720" w:right="0" w:firstLine="0" w:hanging="0"/>
        <w:spacing w:before="0"/>
      </w:pPr>
      <w:r>
        <w:rPr>
          <w:i w:val="1"/>
          <w:iCs w:val="1"/>
        </w:rPr>
        <w:t xml:space="preserve">"Ordinary or regular office supplies" shall be understood to include those supplies, commodities, or materials which, depending on the procuring transaction of its official businesses, and consumed in the day-to-day operations of said procuring entity. </w:t>
      </w:r>
      <w:r>
        <w:rPr/>
        <w:t xml:space="preserve">However, office supplies shall not include services such as repair and maintenance of equipment and furniture, as well as trucking, hauling, janitorial, security, and related or analogous services.</w:t>
      </w:r>
    </w:p>
    <w:p>
      <w:pPr>
        <w:jc w:val="both"/>
      </w:pPr>
      <w:r>
        <w:rPr/>
        <w:t xml:space="preserve">WHEREAS, the thresholds prescribed in Annex "H"V-D-8-a-i (For NGAs, GOCCs, GFIs, SUCs, and Autonomous Regional Government, One Million Pesos) of the IRR of R.A. 9184 is One Million Pesos (PhP1,000,000.00);</w:t>
      </w:r>
    </w:p>
    <w:p>
      <w:pPr>
        <w:jc w:val="both"/>
      </w:pPr>
      <w:r>
        <w:rPr/>
        <w:t xml:space="preserve">WHEREAS, the present procurement does not fall under Shopping in Section 52 of the Revised IRR of the R.A. 9184 and the amount involved does not exceed the thresholds prescribed in Annex "H" of the said IRR.</w:t>
      </w:r>
    </w:p>
    <w:p>
      <w:pPr>
        <w:jc w:val="both"/>
      </w:pPr>
      <w:r>
        <w:rPr/>
        <w:t xml:space="preserve">NOW, THEREFORE, we, the Members of the Bids and Awards Committee, hereby RESOLVE as it is hereby RESOLVED, to recommend </w:t>
      </w:r>
      <w:r>
        <w:rPr>
          <w:b w:val="1"/>
          <w:bCs w:val="1"/>
          <w:smallCaps w:val="0"/>
          <w:caps w:val="1"/>
        </w:rPr>
        <w:t xml:space="preserve">Small Value Procurement</w:t>
      </w:r>
      <w:r>
        <w:rPr/>
        <w:t xml:space="preserve"> as mode of procurement for each component of </w:t>
      </w:r>
      <w:r>
        <w:rPr>
          <w:b w:val="1"/>
          <w:bCs w:val="1"/>
        </w:rPr>
        <w:t xml:space="preserve">Purchase Request Number </w:t>
      </w:r>
      <w:r>
        <w:rPr>
          <w:b w:val="1"/>
          <w:bCs w:val="1"/>
          <w:u w:val="single"/>
        </w:rPr>
        <w:t xml:space="preserve">PR-0926-0001.</w:t>
      </w:r>
    </w:p>
    <w:p>
      <w:pPr>
        <w:jc w:val="both"/>
      </w:pPr>
      <w:r>
        <w:rPr/>
        <w:t xml:space="preserve">RESOLVED FURTHER that a copy of this Resolution be forwarded to the BAC Secretariat with a specific instruction to float request for quotation as required by the procurement law, especially Section 54.2 of the Revised IRR (at least three (3) quotations)</w:t>
      </w:r>
    </w:p>
    <w:p>
      <w:r>
        <w:br w:type="page"/>
      </w:r>
    </w:p>
    <w:p>
      <w:pPr>
        <w:pStyle w:val="CenterHeader"/>
      </w:pPr>
      <w:r>
        <w:rPr>
          <w:rStyle w:val="CenterBold"/>
        </w:rPr>
        <w:t xml:space="preserve">RESOLUTION NO. </w:t>
      </w:r>
      <w:r>
        <w:rPr>
          <w:sz w:val="20"/>
          <w:szCs w:val="20"/>
          <w:b w:val="1"/>
          <w:bCs w:val="1"/>
          <w:smallCaps w:val="0"/>
          <w:caps w:val="1"/>
          <w:u w:val="single"/>
        </w:rPr>
        <w:t xml:space="preserve">RES-0926-0001</w:t>
      </w:r>
    </w:p>
    <w:p/>
    <w:p/>
    <w:p>
      <w:pPr>
        <w:jc w:val="both"/>
      </w:pPr>
      <w:r>
        <w:rPr/>
        <w:t xml:space="preserve">RESOLVED this </w:t>
      </w:r>
      <w:r>
        <w:rPr>
          <w:rStyle w:val="UnderlineBoldSmall"/>
        </w:rPr>
        <w:t xml:space="preserve">17</w:t>
      </w:r>
      <w:r>
        <w:rPr>
          <w:b w:val="1"/>
          <w:bCs w:val="1"/>
          <w:u w:val="single"/>
          <w:vertAlign w:val="superscript"/>
        </w:rPr>
        <w:t xml:space="preserve">th</w:t>
      </w:r>
      <w:r>
        <w:rPr/>
        <w:t xml:space="preserve"> day of </w:t>
      </w:r>
      <w:r>
        <w:rPr>
          <w:rStyle w:val="UnderlineBoldSmall"/>
        </w:rPr>
        <w:t xml:space="preserve">September, 2026</w:t>
      </w:r>
      <w:r>
        <w:rPr/>
        <w:t xml:space="preserve"> at Cagayan State University – Sanchez Mira Campus, Sanchez Mira, Cagayan.</w:t>
      </w:r>
    </w:p>
    <w:tbl>
      <w:tblGrid>
        <w:gridCol w:w="4500" w:type="dxa"/>
        <w:gridCol w:w="4500" w:type="dxa"/>
      </w:tblGrid>
      <w:tblPr>
        <w:jc w:val="cente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vAlign w:val="bottom"/>
            <w:gridSpan w:val="2"/>
            <w:noWrap/>
          </w:tcPr>
          <w:p/>
          <w:p>
            <w:pPr>
              <w:jc w:val="center"/>
              <w:spacing w:after="0"/>
            </w:pPr>
            <w:r>
              <w:rPr>
                <w:rStyle w:val="SignatureCenterBold"/>
              </w:rPr>
              <w:t xml:space="preserve">CHRISTOPHER R. GARINGAN</w:t>
            </w:r>
          </w:p>
          <w:p>
            <w:pPr>
              <w:jc w:val="center"/>
              <w:spacing w:before="0"/>
            </w:pPr>
            <w:r>
              <w:rPr/>
              <w:t xml:space="preserve">BAC Chairman</w:t>
            </w:r>
          </w:p>
        </w:tc>
      </w:tr>
      <w:tr>
        <w:trPr/>
        <w:tc>
          <w:tcPr>
            <w:tcW w:w="4500" w:type="dxa"/>
            <w:vAlign w:val="bottom"/>
            <w:noWrap/>
          </w:tcPr>
          <w:p/>
          <w:p>
            <w:pPr>
              <w:jc w:val="center"/>
              <w:spacing w:after="0"/>
            </w:pPr>
            <w:r>
              <w:rPr>
                <w:rStyle w:val="SignatureCenterBold"/>
              </w:rPr>
              <w:t xml:space="preserve">ATTY. JAN LEANDRO P. VERZON</w:t>
            </w:r>
          </w:p>
          <w:p>
            <w:pPr>
              <w:jc w:val="center"/>
              <w:spacing w:before="0"/>
            </w:pPr>
            <w:r>
              <w:rPr/>
              <w:t xml:space="preserve">BAC Vice Chairman</w:t>
            </w:r>
          </w:p>
        </w:tc>
        <w:tc>
          <w:tcPr>
            <w:tcW w:w="4500" w:type="dxa"/>
            <w:vAlign w:val="bottom"/>
            <w:noWrap/>
          </w:tcPr>
          <w:p/>
          <w:p>
            <w:pPr>
              <w:jc w:val="center"/>
              <w:spacing w:after="0"/>
            </w:pPr>
            <w:r>
              <w:rPr>
                <w:rStyle w:val="SignatureCenterBold"/>
              </w:rPr>
              <w:t xml:space="preserve">MELVIN S. ATAYAN</w:t>
            </w:r>
          </w:p>
          <w:p>
            <w:pPr>
              <w:jc w:val="center"/>
              <w:spacing w:before="0"/>
            </w:pPr>
            <w:r>
              <w:rPr/>
              <w:t xml:space="preserve">BAC Member</w:t>
            </w:r>
          </w:p>
        </w:tc>
      </w:tr>
      <w:tr>
        <w:trPr/>
        <w:tc>
          <w:tcPr>
            <w:tcW w:w="4500" w:type="dxa"/>
            <w:vAlign w:val="bottom"/>
            <w:noWrap/>
          </w:tcPr>
          <w:p/>
          <w:p>
            <w:pPr>
              <w:jc w:val="center"/>
              <w:spacing w:after="0"/>
            </w:pPr>
            <w:r>
              <w:rPr>
                <w:rStyle w:val="SignatureCenterBold"/>
              </w:rPr>
              <w:t xml:space="preserve">VALENTIN M. APOSTOL</w:t>
            </w:r>
          </w:p>
          <w:p>
            <w:pPr>
              <w:jc w:val="center"/>
              <w:spacing w:before="0"/>
            </w:pPr>
            <w:r>
              <w:rPr/>
              <w:t xml:space="preserve">BAC Member</w:t>
            </w:r>
          </w:p>
        </w:tc>
        <w:tc>
          <w:tcPr>
            <w:tcW w:w="4500" w:type="dxa"/>
            <w:vAlign w:val="bottom"/>
            <w:noWrap/>
          </w:tcPr>
          <w:p/>
          <w:p>
            <w:pPr>
              <w:jc w:val="center"/>
              <w:spacing w:after="0"/>
            </w:pPr>
            <w:r>
              <w:rPr>
                <w:rStyle w:val="SignatureCenterBold"/>
              </w:rPr>
              <w:t xml:space="preserve">CHRIS IAN T. RODRIGUEZ</w:t>
            </w:r>
          </w:p>
          <w:p>
            <w:pPr>
              <w:jc w:val="center"/>
              <w:spacing w:before="0"/>
            </w:pPr>
            <w:r>
              <w:rPr/>
              <w:t xml:space="preserve">BAC Member</w:t>
            </w:r>
          </w:p>
        </w:tc>
      </w:tr>
    </w:tbl>
    <w:p/>
    <w:p/>
    <w:p/>
    <w:p>
      <w:pPr>
        <w:jc w:val="both"/>
      </w:pPr>
      <w:r>
        <w:rPr/>
        <w:t xml:space="preserve">I HEREBY CERTIFY that the foregoing is a true and correct copy of the Resolution regularly presented to and adopted by the Bids and Awards Committee and that the signatures set above the prospective names of the Committee members are their true and genuine signatures.</w:t>
      </w:r>
    </w:p>
    <w:tbl>
      <w:tblGrid>
        <w:gridCol w:w="9000" w:type="dxa"/>
      </w:tblGrid>
      <w:tblPr>
        <w:jc w:val="cente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vAlign w:val="bottom"/>
            <w:gridSpan w:val="2"/>
            <w:noWrap/>
          </w:tcPr>
          <w:p/>
          <w:p>
            <w:pPr>
              <w:jc w:val="center"/>
              <w:spacing w:after="0"/>
            </w:pPr>
            <w:r>
              <w:rPr>
                <w:rStyle w:val="SignatureCenterBold"/>
              </w:rPr>
              <w:t xml:space="preserve">CHANDA T. AQUINO</w:t>
            </w:r>
          </w:p>
          <w:p>
            <w:pPr>
              <w:jc w:val="center"/>
              <w:spacing w:before="0"/>
            </w:pPr>
            <w:r>
              <w:rPr/>
              <w:t xml:space="preserve">Head, BAC Secretariat</w:t>
            </w:r>
          </w:p>
        </w:tc>
      </w:tr>
    </w:tbl>
    <w:p/>
    <w:p/>
    <w:p>
      <w:pPr/>
      <w:r>
        <w:rPr/>
        <w:t xml:space="preserve">APPROVED:</w:t>
      </w:r>
    </w:p>
    <w:p>
      <w:pPr/>
      <w:br/>
      <w:r>
        <w:rPr>
          <w:b w:val="1"/>
          <w:bCs w:val="1"/>
          <w:caps w:val="0"/>
        </w:rPr>
        <w:t xml:space="preserve">DR. RODEL FRANCISCO T. ALEGADO, Ph.D.</w:t>
      </w:r>
      <w:br/>
      <w:r>
        <w:rPr/>
        <w:t xml:space="preserve">Campus Executive Officer</w:t>
      </w:r>
      <w:br/>
      <w:r>
        <w:rPr/>
        <w:t xml:space="preserve">Cagayan State University – Sanchez Mira Campus</w:t>
      </w:r>
      <w:br/>
      <w:br/>
      <w:r>
        <w:rPr/>
        <w:t xml:space="preserve">Date: ㅤㅤㅤ______________________________</w:t>
      </w:r>
    </w:p>
    <w:sectPr>
      <w:headerReference w:type="default" r:id="rId7"/>
      <w:footerReference w:type="default" r:id="rId8"/>
      <w:pgSz w:orient="portrait" w:w="12240" w:h="1872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 type="#_x0000_t75" stroked="f" style="width:468pt; height:61.2pt; margin-left:0pt; margin-top:0pt; mso-position-horizontal:center; mso-position-vertical:bottom; mso-position-horizontal-relative:page; mso-position-vertical-relative:page;">
          <w10:wrap type="inline"/>
          <v:imagedata r:id="rId1" o:titl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 type="#_x0000_t75" stroked="f" style="width:468pt; height:61.2pt; margin-left:0pt; margin-top:0pt; mso-position-horizontal:center; mso-position-vertical:top; mso-position-horizontal-relative:page; mso-position-vertical-relative:page;">
          <w10:wrap type="in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entury Gothic" w:hAnsi="Century Gothic" w:eastAsia="Arial" w:cs="Century Gothic"/>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CenterHeader">
    <w:name w:val="CenterHeader"/>
    <w:basedOn w:val="Normal"/>
    <w:pPr>
      <w:jc w:val="center"/>
    </w:pPr>
  </w:style>
  <w:style w:type="character">
    <w:name w:val="CenterBold"/>
    <w:rPr>
      <w:b w:val="1"/>
      <w:bCs w:val="1"/>
      <w:smallCaps w:val="0"/>
      <w:caps w:val="1"/>
    </w:rPr>
  </w:style>
  <w:style w:type="character">
    <w:name w:val="UnderlineBold"/>
    <w:rPr>
      <w:b w:val="1"/>
      <w:bCs w:val="1"/>
      <w:smallCaps w:val="0"/>
      <w:caps w:val="1"/>
      <w:u w:val="single"/>
    </w:rPr>
  </w:style>
  <w:style w:type="character">
    <w:name w:val="UnderlineBoldSmall"/>
    <w:rPr>
      <w:b w:val="1"/>
      <w:bCs w:val="1"/>
      <w:u w:val="single"/>
    </w:rPr>
  </w:style>
  <w:style w:type="character">
    <w:name w:val="SignatureCenterBold"/>
    <w:rPr>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footer1_image1.png"/></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Cagayan State University - BAC System</dc:creator>
  <dc:title>BAC Resolution Document</dc:title>
  <dc:description/>
  <dc:subject>Resolution No. RES-0926-0001</dc:subject>
  <cp:keywords/>
  <cp:category/>
  <cp:lastModifiedBy/>
  <dcterms:created xsi:type="dcterms:W3CDTF">2026-09-17T14:21:01+08:00</dcterms:created>
  <dcterms:modified xsi:type="dcterms:W3CDTF">2026-09-17T14:21:01+08:00</dcterms:modified>
</cp:coreProperties>
</file>

<file path=docProps/custom.xml><?xml version="1.0" encoding="utf-8"?>
<Properties xmlns="http://schemas.openxmlformats.org/officeDocument/2006/custom-properties" xmlns:vt="http://schemas.openxmlformats.org/officeDocument/2006/docPropsVTypes"/>
</file>