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449" w:rsidRPr="009F7449" w:rsidRDefault="009F7449" w:rsidP="003E0164">
      <w:pPr>
        <w:shd w:val="clear" w:color="auto" w:fill="FFFFFF"/>
        <w:spacing w:after="150" w:line="276" w:lineRule="auto"/>
        <w:outlineLvl w:val="0"/>
        <w:rPr>
          <w:rFonts w:ascii="Baskerville Old Face" w:eastAsia="Times New Roman" w:hAnsi="Baskerville Old Face" w:cs="Times New Roman"/>
          <w:b/>
          <w:bCs/>
          <w:spacing w:val="-17"/>
          <w:kern w:val="36"/>
          <w:sz w:val="28"/>
          <w:szCs w:val="28"/>
        </w:rPr>
      </w:pPr>
      <w:r w:rsidRPr="009F7449">
        <w:rPr>
          <w:rFonts w:ascii="Baskerville Old Face" w:eastAsia="Times New Roman" w:hAnsi="Baskerville Old Face" w:cs="Times New Roman"/>
          <w:b/>
          <w:bCs/>
          <w:spacing w:val="-17"/>
          <w:kern w:val="36"/>
          <w:sz w:val="28"/>
          <w:szCs w:val="28"/>
        </w:rPr>
        <w:t>OPT 328 GENERAL PHARMACOLOGY</w:t>
      </w:r>
      <w:r w:rsidR="00E53215">
        <w:rPr>
          <w:rFonts w:ascii="Baskerville Old Face" w:eastAsia="Times New Roman" w:hAnsi="Baskerville Old Face" w:cs="Times New Roman"/>
          <w:b/>
          <w:bCs/>
          <w:spacing w:val="-17"/>
          <w:kern w:val="36"/>
          <w:sz w:val="28"/>
          <w:szCs w:val="28"/>
        </w:rPr>
        <w:t xml:space="preserve"> </w:t>
      </w:r>
      <w:r w:rsidR="0050493D">
        <w:rPr>
          <w:rFonts w:ascii="Baskerville Old Face" w:eastAsia="Times New Roman" w:hAnsi="Baskerville Old Face" w:cs="Times New Roman"/>
          <w:b/>
          <w:bCs/>
          <w:spacing w:val="-17"/>
          <w:kern w:val="36"/>
          <w:sz w:val="28"/>
          <w:szCs w:val="28"/>
        </w:rPr>
        <w:t xml:space="preserve">  2</w:t>
      </w:r>
      <w:r w:rsidR="00E53215">
        <w:rPr>
          <w:rFonts w:ascii="Baskerville Old Face" w:eastAsia="Times New Roman" w:hAnsi="Baskerville Old Face" w:cs="Times New Roman"/>
          <w:b/>
          <w:bCs/>
          <w:spacing w:val="-17"/>
          <w:kern w:val="36"/>
          <w:sz w:val="28"/>
          <w:szCs w:val="28"/>
        </w:rPr>
        <w:t>020/2021</w:t>
      </w:r>
    </w:p>
    <w:p w:rsidR="009F7449" w:rsidRPr="009F7449" w:rsidRDefault="0050493D" w:rsidP="003E0164">
      <w:pPr>
        <w:shd w:val="clear" w:color="auto" w:fill="FFFFFF"/>
        <w:spacing w:after="150" w:line="276" w:lineRule="auto"/>
        <w:outlineLvl w:val="0"/>
        <w:rPr>
          <w:rFonts w:ascii="Baskerville Old Face" w:eastAsia="Times New Roman" w:hAnsi="Baskerville Old Face" w:cs="Times New Roman"/>
          <w:b/>
          <w:bCs/>
          <w:i/>
          <w:spacing w:val="-17"/>
          <w:kern w:val="36"/>
          <w:sz w:val="24"/>
          <w:szCs w:val="24"/>
        </w:rPr>
      </w:pPr>
      <w:r w:rsidRPr="009F7449">
        <w:rPr>
          <w:rFonts w:ascii="Baskerville Old Face" w:eastAsia="Times New Roman" w:hAnsi="Baskerville Old Face" w:cs="Times New Roman"/>
          <w:b/>
          <w:bCs/>
          <w:i/>
          <w:spacing w:val="-17"/>
          <w:kern w:val="36"/>
          <w:sz w:val="24"/>
          <w:szCs w:val="24"/>
        </w:rPr>
        <w:t>DR OKORO</w:t>
      </w:r>
      <w:r w:rsidR="009F7449" w:rsidRPr="009F7449">
        <w:rPr>
          <w:rFonts w:ascii="Baskerville Old Face" w:eastAsia="Times New Roman" w:hAnsi="Baskerville Old Face" w:cs="Times New Roman"/>
          <w:b/>
          <w:bCs/>
          <w:i/>
          <w:spacing w:val="-17"/>
          <w:kern w:val="36"/>
          <w:sz w:val="24"/>
          <w:szCs w:val="24"/>
        </w:rPr>
        <w:t xml:space="preserve"> CHIEMELA C.</w:t>
      </w:r>
    </w:p>
    <w:p w:rsidR="00AD2AB7" w:rsidRPr="009F7449" w:rsidRDefault="00AD2AB7" w:rsidP="003E0164">
      <w:pPr>
        <w:shd w:val="clear" w:color="auto" w:fill="FFFFFF"/>
        <w:spacing w:after="150" w:line="276" w:lineRule="auto"/>
        <w:outlineLvl w:val="0"/>
        <w:rPr>
          <w:rFonts w:ascii="Baskerville Old Face" w:eastAsia="Times New Roman" w:hAnsi="Baskerville Old Face" w:cs="Times New Roman"/>
          <w:b/>
          <w:bCs/>
          <w:spacing w:val="-17"/>
          <w:kern w:val="36"/>
          <w:sz w:val="28"/>
          <w:szCs w:val="28"/>
        </w:rPr>
      </w:pPr>
      <w:r w:rsidRPr="009F7449">
        <w:rPr>
          <w:rFonts w:ascii="Baskerville Old Face" w:eastAsia="Times New Roman" w:hAnsi="Baskerville Old Face" w:cs="Times New Roman"/>
          <w:b/>
          <w:bCs/>
          <w:spacing w:val="-17"/>
          <w:kern w:val="36"/>
          <w:sz w:val="28"/>
          <w:szCs w:val="28"/>
        </w:rPr>
        <w:t>LECTURE 2</w:t>
      </w:r>
    </w:p>
    <w:p w:rsidR="00AD2AB7" w:rsidRPr="00393E28" w:rsidRDefault="00AD2AB7" w:rsidP="003E0164">
      <w:pPr>
        <w:shd w:val="clear" w:color="auto" w:fill="FFFFFF"/>
        <w:spacing w:after="150" w:line="276" w:lineRule="auto"/>
        <w:outlineLvl w:val="0"/>
        <w:rPr>
          <w:rFonts w:ascii="Baskerville Old Face" w:eastAsia="Times New Roman" w:hAnsi="Baskerville Old Face" w:cs="Times New Roman"/>
          <w:b/>
          <w:bCs/>
          <w:spacing w:val="-17"/>
          <w:kern w:val="36"/>
          <w:sz w:val="32"/>
          <w:szCs w:val="40"/>
        </w:rPr>
      </w:pPr>
      <w:r w:rsidRPr="00393E28">
        <w:rPr>
          <w:rFonts w:ascii="Baskerville Old Face" w:eastAsia="Times New Roman" w:hAnsi="Baskerville Old Face" w:cs="Times New Roman"/>
          <w:b/>
          <w:bCs/>
          <w:spacing w:val="-17"/>
          <w:kern w:val="36"/>
          <w:sz w:val="32"/>
          <w:szCs w:val="40"/>
        </w:rPr>
        <w:t>Dose-Response Relationships</w:t>
      </w:r>
    </w:p>
    <w:p w:rsidR="00AD2AB7" w:rsidRDefault="00AD2AB7" w:rsidP="003E0164">
      <w:pPr>
        <w:pStyle w:val="NormalWeb"/>
        <w:shd w:val="clear" w:color="auto" w:fill="FFFFFF"/>
        <w:spacing w:before="0" w:beforeAutospacing="0" w:after="0" w:afterAutospacing="0" w:line="276" w:lineRule="auto"/>
        <w:jc w:val="both"/>
        <w:rPr>
          <w:rFonts w:ascii="Baskerville Old Face" w:hAnsi="Baskerville Old Face"/>
          <w:spacing w:val="2"/>
        </w:rPr>
      </w:pPr>
      <w:r w:rsidRPr="003E0164">
        <w:rPr>
          <w:rFonts w:ascii="Baskerville Old Face" w:hAnsi="Baskerville Old Face"/>
          <w:spacing w:val="2"/>
        </w:rPr>
        <w:t xml:space="preserve">Regardless of how a drug effect occurs—through binding or chemical interaction—the concentration of the drug at the site of action controls the effect. However, response to concentration may be complex and is often nonlinear. The relationship between the drug dose, regardless of route used, and the drug concentration at the cellular </w:t>
      </w:r>
      <w:r w:rsidR="00AE6BE5" w:rsidRPr="003E0164">
        <w:rPr>
          <w:rFonts w:ascii="Baskerville Old Face" w:hAnsi="Baskerville Old Face"/>
          <w:spacing w:val="2"/>
        </w:rPr>
        <w:t>level is even more complex</w:t>
      </w:r>
      <w:r w:rsidRPr="003E0164">
        <w:rPr>
          <w:rFonts w:ascii="Baskerville Old Face" w:hAnsi="Baskerville Old Face"/>
          <w:spacing w:val="2"/>
        </w:rPr>
        <w:t>.</w:t>
      </w:r>
    </w:p>
    <w:p w:rsidR="00E53215" w:rsidRPr="00E53215" w:rsidRDefault="00E53215" w:rsidP="00E53215">
      <w:pPr>
        <w:autoSpaceDE w:val="0"/>
        <w:autoSpaceDN w:val="0"/>
        <w:adjustRightInd w:val="0"/>
        <w:spacing w:after="0" w:line="240" w:lineRule="auto"/>
        <w:jc w:val="both"/>
        <w:rPr>
          <w:rFonts w:ascii="Baskerville Old Face" w:eastAsia="LiberationSerif" w:hAnsi="Baskerville Old Face" w:cs="LiberationSerif"/>
          <w:sz w:val="20"/>
          <w:szCs w:val="20"/>
        </w:rPr>
      </w:pPr>
    </w:p>
    <w:p w:rsidR="00E53215" w:rsidRDefault="00E53215" w:rsidP="00E53215">
      <w:pPr>
        <w:autoSpaceDE w:val="0"/>
        <w:autoSpaceDN w:val="0"/>
        <w:adjustRightInd w:val="0"/>
        <w:spacing w:after="0" w:line="276" w:lineRule="auto"/>
        <w:jc w:val="both"/>
        <w:rPr>
          <w:rFonts w:ascii="Baskerville Old Face" w:eastAsia="LiberationSerif" w:hAnsi="Baskerville Old Face" w:cs="LiberationSerif"/>
          <w:sz w:val="24"/>
          <w:szCs w:val="24"/>
        </w:rPr>
      </w:pPr>
      <w:r w:rsidRPr="00E53215">
        <w:rPr>
          <w:rFonts w:ascii="Baskerville Old Face" w:eastAsia="LiberationSerif" w:hAnsi="Baskerville Old Face" w:cs="LiberationSerif"/>
          <w:sz w:val="24"/>
          <w:szCs w:val="24"/>
        </w:rPr>
        <w:t xml:space="preserve">Agonist drugs mimic the action of the endogenous ligand for the receptor (for example, </w:t>
      </w:r>
      <w:r w:rsidRPr="00E53215">
        <w:rPr>
          <w:rFonts w:ascii="Baskerville Old Face" w:eastAsia="LiberationSerif" w:hAnsi="Baskerville Old Face" w:cs="LiberationSerif-Italic"/>
          <w:i/>
          <w:iCs/>
          <w:sz w:val="24"/>
          <w:szCs w:val="24"/>
        </w:rPr>
        <w:t xml:space="preserve">isoproterenol </w:t>
      </w:r>
      <w:r w:rsidRPr="00E53215">
        <w:rPr>
          <w:rFonts w:ascii="Baskerville Old Face" w:eastAsia="LiberationSerif" w:hAnsi="Baskerville Old Face" w:cs="LiberationSerif"/>
          <w:sz w:val="24"/>
          <w:szCs w:val="24"/>
        </w:rPr>
        <w:t xml:space="preserve">mimics norepinephrine on </w:t>
      </w:r>
      <w:r w:rsidRPr="00E53215">
        <w:rPr>
          <w:rFonts w:ascii="Cambria" w:eastAsia="LiberationSerif" w:hAnsi="Cambria" w:cs="Cambria"/>
          <w:sz w:val="24"/>
          <w:szCs w:val="24"/>
        </w:rPr>
        <w:t>β</w:t>
      </w:r>
      <w:r w:rsidRPr="00E53215">
        <w:rPr>
          <w:rFonts w:ascii="Baskerville Old Face" w:eastAsia="LiberationSerif" w:hAnsi="Baskerville Old Face" w:cs="LiberationSerif"/>
          <w:sz w:val="24"/>
          <w:szCs w:val="24"/>
        </w:rPr>
        <w:t>1 receptors of the heart). The magnitude of the drug effect depends on receptor sensitivity to the drug and the drug concentration at the receptor site, which, in turn, is determined by both the dose of drug administered and by the drug’s pharmacokinetic profile, such as rate of absorption, distribution, metabolism, and elimination.</w:t>
      </w:r>
    </w:p>
    <w:p w:rsidR="00E53215" w:rsidRPr="00E53215" w:rsidRDefault="00E53215" w:rsidP="00E53215">
      <w:pPr>
        <w:autoSpaceDE w:val="0"/>
        <w:autoSpaceDN w:val="0"/>
        <w:adjustRightInd w:val="0"/>
        <w:spacing w:after="0" w:line="276" w:lineRule="auto"/>
        <w:jc w:val="both"/>
        <w:rPr>
          <w:rFonts w:ascii="Baskerville Old Face" w:hAnsi="Baskerville Old Face" w:cs="LiberationSerif-Bold"/>
          <w:b/>
          <w:bCs/>
          <w:sz w:val="24"/>
          <w:szCs w:val="24"/>
        </w:rPr>
      </w:pPr>
      <w:r w:rsidRPr="00E53215">
        <w:rPr>
          <w:rFonts w:ascii="Baskerville Old Face" w:hAnsi="Baskerville Old Face" w:cs="LiberationSerif-Bold"/>
          <w:b/>
          <w:bCs/>
          <w:sz w:val="24"/>
          <w:szCs w:val="24"/>
        </w:rPr>
        <w:t>Graded dose–response relationship</w:t>
      </w:r>
    </w:p>
    <w:p w:rsidR="00E53215" w:rsidRDefault="00E53215" w:rsidP="00E53215">
      <w:pPr>
        <w:autoSpaceDE w:val="0"/>
        <w:autoSpaceDN w:val="0"/>
        <w:adjustRightInd w:val="0"/>
        <w:spacing w:after="0" w:line="276" w:lineRule="auto"/>
        <w:jc w:val="both"/>
        <w:rPr>
          <w:rFonts w:ascii="Baskerville Old Face" w:eastAsia="LiberationSerif" w:hAnsi="Baskerville Old Face" w:cs="LiberationSerif"/>
          <w:sz w:val="24"/>
          <w:szCs w:val="24"/>
        </w:rPr>
      </w:pPr>
      <w:r w:rsidRPr="00E53215">
        <w:rPr>
          <w:rFonts w:ascii="Baskerville Old Face" w:eastAsia="LiberationSerif" w:hAnsi="Baskerville Old Face" w:cs="LiberationSerif"/>
          <w:sz w:val="24"/>
          <w:szCs w:val="24"/>
        </w:rPr>
        <w:t>As the concentration of a drug increases, its pharmacologic effect also gradually increases until all the receptors are occupied (the maximum effect). Plotting the magnitude of response against increasing doses of a drug produces a graded dose–response curve that has the general shape depicted in Figure below. Two important drug characteristics, potency and efficacy, can be determined by graded dose–response curves.</w:t>
      </w:r>
    </w:p>
    <w:p w:rsidR="00E53215" w:rsidRDefault="00E53215" w:rsidP="00E53215">
      <w:pPr>
        <w:autoSpaceDE w:val="0"/>
        <w:autoSpaceDN w:val="0"/>
        <w:adjustRightInd w:val="0"/>
        <w:spacing w:after="0" w:line="276" w:lineRule="auto"/>
        <w:jc w:val="both"/>
        <w:rPr>
          <w:rFonts w:ascii="Baskerville Old Face" w:eastAsia="LiberationSerif" w:hAnsi="Baskerville Old Face" w:cs="LiberationSerif"/>
          <w:sz w:val="24"/>
          <w:szCs w:val="24"/>
        </w:rPr>
      </w:pPr>
      <w:r w:rsidRPr="00E53215">
        <w:rPr>
          <w:rFonts w:ascii="Baskerville Old Face" w:eastAsia="LiberationSerif" w:hAnsi="Baskerville Old Face" w:cs="LiberationSerif"/>
          <w:noProof/>
          <w:sz w:val="24"/>
          <w:szCs w:val="24"/>
        </w:rPr>
        <w:drawing>
          <wp:inline distT="0" distB="0" distL="0" distR="0">
            <wp:extent cx="6660515" cy="256431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0515" cy="2564314"/>
                    </a:xfrm>
                    <a:prstGeom prst="rect">
                      <a:avLst/>
                    </a:prstGeom>
                    <a:noFill/>
                    <a:ln>
                      <a:noFill/>
                    </a:ln>
                  </pic:spPr>
                </pic:pic>
              </a:graphicData>
            </a:graphic>
          </wp:inline>
        </w:drawing>
      </w:r>
    </w:p>
    <w:p w:rsidR="00E53215" w:rsidRPr="00E53215" w:rsidRDefault="00E53215" w:rsidP="00E53215">
      <w:pPr>
        <w:autoSpaceDE w:val="0"/>
        <w:autoSpaceDN w:val="0"/>
        <w:adjustRightInd w:val="0"/>
        <w:spacing w:after="0" w:line="240" w:lineRule="auto"/>
        <w:jc w:val="both"/>
        <w:rPr>
          <w:rFonts w:ascii="Baskerville Old Face" w:eastAsia="LiberationSerif" w:hAnsi="Baskerville Old Face" w:cs="LiberationSerif"/>
          <w:b/>
          <w:sz w:val="20"/>
          <w:szCs w:val="20"/>
        </w:rPr>
      </w:pPr>
      <w:r>
        <w:rPr>
          <w:rFonts w:ascii="Baskerville Old Face" w:eastAsia="LiberationSerif" w:hAnsi="Baskerville Old Face" w:cs="LiberationSerif"/>
          <w:b/>
          <w:sz w:val="20"/>
          <w:szCs w:val="20"/>
        </w:rPr>
        <w:t xml:space="preserve">Fig. 1. </w:t>
      </w:r>
      <w:r w:rsidRPr="00E53215">
        <w:rPr>
          <w:rFonts w:ascii="Baskerville Old Face" w:eastAsia="LiberationSerif" w:hAnsi="Baskerville Old Face" w:cs="LiberationSerif"/>
          <w:b/>
          <w:sz w:val="20"/>
          <w:szCs w:val="20"/>
        </w:rPr>
        <w:t xml:space="preserve">The effect of dose on the magnitude of pharmacologic response. </w:t>
      </w:r>
      <w:r w:rsidRPr="00E53215">
        <w:rPr>
          <w:rFonts w:ascii="Baskerville Old Face" w:eastAsia="LiberationSerif" w:hAnsi="Baskerville Old Face" w:cs="LiberationSerif-Bold"/>
          <w:b/>
          <w:bCs/>
          <w:sz w:val="20"/>
          <w:szCs w:val="20"/>
        </w:rPr>
        <w:t xml:space="preserve">Panel A </w:t>
      </w:r>
      <w:r w:rsidRPr="00E53215">
        <w:rPr>
          <w:rFonts w:ascii="Baskerville Old Face" w:eastAsia="LiberationSerif" w:hAnsi="Baskerville Old Face" w:cs="LiberationSerif"/>
          <w:b/>
          <w:sz w:val="20"/>
          <w:szCs w:val="20"/>
        </w:rPr>
        <w:t xml:space="preserve">is a linear plot. </w:t>
      </w:r>
      <w:r w:rsidRPr="00E53215">
        <w:rPr>
          <w:rFonts w:ascii="Baskerville Old Face" w:eastAsia="LiberationSerif" w:hAnsi="Baskerville Old Face" w:cs="LiberationSerif-Bold"/>
          <w:b/>
          <w:bCs/>
          <w:sz w:val="20"/>
          <w:szCs w:val="20"/>
        </w:rPr>
        <w:t xml:space="preserve">Panel B </w:t>
      </w:r>
      <w:r w:rsidRPr="00E53215">
        <w:rPr>
          <w:rFonts w:ascii="Baskerville Old Face" w:eastAsia="LiberationSerif" w:hAnsi="Baskerville Old Face" w:cs="LiberationSerif"/>
          <w:b/>
          <w:sz w:val="20"/>
          <w:szCs w:val="20"/>
        </w:rPr>
        <w:t xml:space="preserve">is a </w:t>
      </w:r>
      <w:proofErr w:type="spellStart"/>
      <w:r w:rsidRPr="00E53215">
        <w:rPr>
          <w:rFonts w:ascii="Baskerville Old Face" w:eastAsia="LiberationSerif" w:hAnsi="Baskerville Old Face" w:cs="LiberationSerif"/>
          <w:b/>
          <w:sz w:val="20"/>
          <w:szCs w:val="20"/>
        </w:rPr>
        <w:t>semilogarithmic</w:t>
      </w:r>
      <w:proofErr w:type="spellEnd"/>
      <w:r w:rsidRPr="00E53215">
        <w:rPr>
          <w:rFonts w:ascii="Baskerville Old Face" w:eastAsia="LiberationSerif" w:hAnsi="Baskerville Old Face" w:cs="LiberationSerif"/>
          <w:b/>
          <w:sz w:val="20"/>
          <w:szCs w:val="20"/>
        </w:rPr>
        <w:t xml:space="preserve"> plot of the same data. EC50 = drug dose causing 50% of maximal response.</w:t>
      </w:r>
    </w:p>
    <w:p w:rsidR="00E53215" w:rsidRDefault="00E53215" w:rsidP="00E53215">
      <w:pPr>
        <w:pStyle w:val="NormalWeb"/>
        <w:shd w:val="clear" w:color="auto" w:fill="FFFFFF"/>
        <w:spacing w:before="0" w:beforeAutospacing="0" w:after="0" w:afterAutospacing="0" w:line="276" w:lineRule="auto"/>
        <w:jc w:val="both"/>
        <w:rPr>
          <w:rFonts w:ascii="Baskerville Old Face" w:hAnsi="Baskerville Old Face"/>
          <w:spacing w:val="2"/>
        </w:rPr>
      </w:pPr>
    </w:p>
    <w:p w:rsidR="00E53215" w:rsidRPr="0055288E" w:rsidRDefault="00E53215" w:rsidP="0055288E">
      <w:pPr>
        <w:autoSpaceDE w:val="0"/>
        <w:autoSpaceDN w:val="0"/>
        <w:adjustRightInd w:val="0"/>
        <w:spacing w:after="0" w:line="240" w:lineRule="auto"/>
        <w:jc w:val="both"/>
        <w:rPr>
          <w:rFonts w:ascii="Baskerville Old Face" w:hAnsi="Baskerville Old Face" w:cs="LiberationSerif-Bold"/>
          <w:b/>
          <w:bCs/>
          <w:sz w:val="28"/>
          <w:szCs w:val="24"/>
        </w:rPr>
      </w:pPr>
      <w:r w:rsidRPr="0055288E">
        <w:rPr>
          <w:rFonts w:ascii="Baskerville Old Face" w:hAnsi="Baskerville Old Face" w:cs="LiberationSerif-Bold"/>
          <w:b/>
          <w:bCs/>
          <w:sz w:val="28"/>
          <w:szCs w:val="24"/>
        </w:rPr>
        <w:t>Potency</w:t>
      </w:r>
    </w:p>
    <w:p w:rsidR="00E53215" w:rsidRPr="0055288E" w:rsidRDefault="00E53215" w:rsidP="0055288E">
      <w:pPr>
        <w:autoSpaceDE w:val="0"/>
        <w:autoSpaceDN w:val="0"/>
        <w:adjustRightInd w:val="0"/>
        <w:spacing w:after="0" w:line="240" w:lineRule="auto"/>
        <w:jc w:val="both"/>
        <w:rPr>
          <w:rFonts w:ascii="Baskerville Old Face" w:eastAsia="LiberationSerif" w:hAnsi="Baskerville Old Face" w:cs="LiberationSerif"/>
          <w:sz w:val="24"/>
          <w:szCs w:val="24"/>
        </w:rPr>
      </w:pPr>
      <w:r w:rsidRPr="0055288E">
        <w:rPr>
          <w:rFonts w:ascii="Baskerville Old Face" w:eastAsia="LiberationSerif" w:hAnsi="Baskerville Old Face" w:cs="LiberationSerif"/>
          <w:sz w:val="24"/>
          <w:szCs w:val="24"/>
        </w:rPr>
        <w:t xml:space="preserve">Potency is a measure of the amount of drug necessary to produce an effect. The concentration of drug producing 50% of the maximum effect (EC50) is often used to determine potency. In Figure 1, the EC50 for Drugs A and B indicate that Drug A is more potent than Drug B, because a lesser amount of Drug A is needed to obtain 50% effect. Therapeutic preparations of drugs reflect their potency. For example, </w:t>
      </w:r>
      <w:r w:rsidRPr="0055288E">
        <w:rPr>
          <w:rFonts w:ascii="Baskerville Old Face" w:hAnsi="Baskerville Old Face" w:cs="LiberationSerif-Italic"/>
          <w:i/>
          <w:iCs/>
          <w:sz w:val="24"/>
          <w:szCs w:val="24"/>
        </w:rPr>
        <w:t xml:space="preserve">candesartan </w:t>
      </w:r>
      <w:r w:rsidRPr="0055288E">
        <w:rPr>
          <w:rFonts w:ascii="Baskerville Old Face" w:eastAsia="LiberationSerif" w:hAnsi="Baskerville Old Face" w:cs="LiberationSerif"/>
          <w:sz w:val="24"/>
          <w:szCs w:val="24"/>
        </w:rPr>
        <w:t xml:space="preserve">and </w:t>
      </w:r>
      <w:proofErr w:type="spellStart"/>
      <w:r w:rsidRPr="0055288E">
        <w:rPr>
          <w:rFonts w:ascii="Baskerville Old Face" w:hAnsi="Baskerville Old Face" w:cs="LiberationSerif-Italic"/>
          <w:i/>
          <w:iCs/>
          <w:sz w:val="24"/>
          <w:szCs w:val="24"/>
        </w:rPr>
        <w:t>irbesartan</w:t>
      </w:r>
      <w:proofErr w:type="spellEnd"/>
      <w:r w:rsidRPr="0055288E">
        <w:rPr>
          <w:rFonts w:ascii="Baskerville Old Face" w:hAnsi="Baskerville Old Face" w:cs="LiberationSerif-Italic"/>
          <w:i/>
          <w:iCs/>
          <w:sz w:val="24"/>
          <w:szCs w:val="24"/>
        </w:rPr>
        <w:t xml:space="preserve"> </w:t>
      </w:r>
      <w:r w:rsidRPr="0055288E">
        <w:rPr>
          <w:rFonts w:ascii="Baskerville Old Face" w:eastAsia="LiberationSerif" w:hAnsi="Baskerville Old Face" w:cs="LiberationSerif"/>
          <w:sz w:val="24"/>
          <w:szCs w:val="24"/>
        </w:rPr>
        <w:t xml:space="preserve">are angiotensin receptor blockers used to treat hypertension. The therapeutic dose range for </w:t>
      </w:r>
      <w:r w:rsidRPr="0055288E">
        <w:rPr>
          <w:rFonts w:ascii="Baskerville Old Face" w:hAnsi="Baskerville Old Face" w:cs="LiberationSerif-Italic"/>
          <w:i/>
          <w:iCs/>
          <w:sz w:val="24"/>
          <w:szCs w:val="24"/>
        </w:rPr>
        <w:t xml:space="preserve">candesartan </w:t>
      </w:r>
      <w:r w:rsidRPr="0055288E">
        <w:rPr>
          <w:rFonts w:ascii="Baskerville Old Face" w:eastAsia="LiberationSerif" w:hAnsi="Baskerville Old Face" w:cs="LiberationSerif"/>
          <w:sz w:val="24"/>
          <w:szCs w:val="24"/>
        </w:rPr>
        <w:t xml:space="preserve">is 4 to 32 </w:t>
      </w:r>
      <w:r w:rsidRPr="0055288E">
        <w:rPr>
          <w:rFonts w:ascii="Baskerville Old Face" w:eastAsia="LiberationSerif" w:hAnsi="Baskerville Old Face" w:cs="LiberationSerif"/>
          <w:sz w:val="24"/>
          <w:szCs w:val="24"/>
        </w:rPr>
        <w:lastRenderedPageBreak/>
        <w:t xml:space="preserve">mg, as compared to 75 to 300 mg for </w:t>
      </w:r>
      <w:proofErr w:type="spellStart"/>
      <w:r w:rsidRPr="0055288E">
        <w:rPr>
          <w:rFonts w:ascii="Baskerville Old Face" w:hAnsi="Baskerville Old Face" w:cs="LiberationSerif-Italic"/>
          <w:i/>
          <w:iCs/>
          <w:sz w:val="24"/>
          <w:szCs w:val="24"/>
        </w:rPr>
        <w:t>irbesartan</w:t>
      </w:r>
      <w:proofErr w:type="spellEnd"/>
      <w:r w:rsidRPr="0055288E">
        <w:rPr>
          <w:rFonts w:ascii="Baskerville Old Face" w:eastAsia="LiberationSerif" w:hAnsi="Baskerville Old Face" w:cs="LiberationSerif"/>
          <w:sz w:val="24"/>
          <w:szCs w:val="24"/>
        </w:rPr>
        <w:t xml:space="preserve">. Therefore, </w:t>
      </w:r>
      <w:r w:rsidRPr="0055288E">
        <w:rPr>
          <w:rFonts w:ascii="Baskerville Old Face" w:hAnsi="Baskerville Old Face" w:cs="LiberationSerif-Italic"/>
          <w:i/>
          <w:iCs/>
          <w:sz w:val="24"/>
          <w:szCs w:val="24"/>
        </w:rPr>
        <w:t xml:space="preserve">candesartan </w:t>
      </w:r>
      <w:r w:rsidRPr="0055288E">
        <w:rPr>
          <w:rFonts w:ascii="Baskerville Old Face" w:eastAsia="LiberationSerif" w:hAnsi="Baskerville Old Face" w:cs="LiberationSerif"/>
          <w:sz w:val="24"/>
          <w:szCs w:val="24"/>
        </w:rPr>
        <w:t xml:space="preserve">is more potent than </w:t>
      </w:r>
      <w:proofErr w:type="spellStart"/>
      <w:r w:rsidRPr="0055288E">
        <w:rPr>
          <w:rFonts w:ascii="Baskerville Old Face" w:hAnsi="Baskerville Old Face" w:cs="LiberationSerif-Italic"/>
          <w:i/>
          <w:iCs/>
          <w:sz w:val="24"/>
          <w:szCs w:val="24"/>
        </w:rPr>
        <w:t>irbesartan</w:t>
      </w:r>
      <w:proofErr w:type="spellEnd"/>
      <w:r w:rsidRPr="0055288E">
        <w:rPr>
          <w:rFonts w:ascii="Baskerville Old Face" w:hAnsi="Baskerville Old Face" w:cs="LiberationSerif-Italic"/>
          <w:i/>
          <w:iCs/>
          <w:sz w:val="24"/>
          <w:szCs w:val="24"/>
        </w:rPr>
        <w:t xml:space="preserve"> </w:t>
      </w:r>
      <w:r w:rsidRPr="0055288E">
        <w:rPr>
          <w:rFonts w:ascii="Baskerville Old Face" w:eastAsia="LiberationSerif" w:hAnsi="Baskerville Old Face" w:cs="LiberationSerif"/>
          <w:sz w:val="24"/>
          <w:szCs w:val="24"/>
        </w:rPr>
        <w:t>(it has a lower EC50 value).</w:t>
      </w:r>
    </w:p>
    <w:p w:rsidR="00E53215" w:rsidRDefault="00E53215" w:rsidP="0055288E">
      <w:pPr>
        <w:autoSpaceDE w:val="0"/>
        <w:autoSpaceDN w:val="0"/>
        <w:adjustRightInd w:val="0"/>
        <w:spacing w:after="0" w:line="240" w:lineRule="auto"/>
        <w:jc w:val="both"/>
        <w:rPr>
          <w:rFonts w:ascii="Baskerville Old Face" w:eastAsia="LiberationSerif" w:hAnsi="Baskerville Old Face" w:cs="LiberationSerif"/>
          <w:sz w:val="24"/>
          <w:szCs w:val="24"/>
        </w:rPr>
      </w:pPr>
      <w:r w:rsidRPr="0055288E">
        <w:rPr>
          <w:rFonts w:ascii="Baskerville Old Face" w:eastAsia="LiberationSerif" w:hAnsi="Baskerville Old Face" w:cs="LiberationSerif"/>
          <w:sz w:val="24"/>
          <w:szCs w:val="24"/>
        </w:rPr>
        <w:t>Since the range of drug concentrations that cause from 1% to 99% of maximal response usually spans several orders</w:t>
      </w:r>
      <w:r w:rsidR="0055288E" w:rsidRPr="0055288E">
        <w:rPr>
          <w:rFonts w:ascii="Baskerville Old Face" w:eastAsia="LiberationSerif" w:hAnsi="Baskerville Old Face" w:cs="LiberationSerif"/>
          <w:sz w:val="24"/>
          <w:szCs w:val="24"/>
        </w:rPr>
        <w:t xml:space="preserve"> </w:t>
      </w:r>
      <w:r w:rsidRPr="0055288E">
        <w:rPr>
          <w:rFonts w:ascii="Baskerville Old Face" w:eastAsia="LiberationSerif" w:hAnsi="Baskerville Old Face" w:cs="LiberationSerif"/>
          <w:sz w:val="24"/>
          <w:szCs w:val="24"/>
        </w:rPr>
        <w:t xml:space="preserve">of magnitude, </w:t>
      </w:r>
      <w:proofErr w:type="spellStart"/>
      <w:r w:rsidRPr="0055288E">
        <w:rPr>
          <w:rFonts w:ascii="Baskerville Old Face" w:eastAsia="LiberationSerif" w:hAnsi="Baskerville Old Face" w:cs="LiberationSerif"/>
          <w:sz w:val="24"/>
          <w:szCs w:val="24"/>
        </w:rPr>
        <w:t>semilogarithmic</w:t>
      </w:r>
      <w:proofErr w:type="spellEnd"/>
      <w:r w:rsidRPr="0055288E">
        <w:rPr>
          <w:rFonts w:ascii="Baskerville Old Face" w:eastAsia="LiberationSerif" w:hAnsi="Baskerville Old Face" w:cs="LiberationSerif"/>
          <w:sz w:val="24"/>
          <w:szCs w:val="24"/>
        </w:rPr>
        <w:t xml:space="preserve"> plots are used to graph the complete range of doses. As shown in </w:t>
      </w:r>
      <w:r w:rsidR="0055288E" w:rsidRPr="0055288E">
        <w:rPr>
          <w:rFonts w:ascii="Baskerville Old Face" w:eastAsia="LiberationSerif" w:hAnsi="Baskerville Old Face" w:cs="LiberationSerif"/>
          <w:sz w:val="24"/>
          <w:szCs w:val="24"/>
        </w:rPr>
        <w:t>Figure 1</w:t>
      </w:r>
      <w:r w:rsidRPr="0055288E">
        <w:rPr>
          <w:rFonts w:ascii="Baskerville Old Face" w:eastAsia="LiberationSerif" w:hAnsi="Baskerville Old Face" w:cs="LiberationSerif"/>
          <w:sz w:val="24"/>
          <w:szCs w:val="24"/>
        </w:rPr>
        <w:t>B, the</w:t>
      </w:r>
      <w:r w:rsidR="0055288E" w:rsidRPr="0055288E">
        <w:rPr>
          <w:rFonts w:ascii="Baskerville Old Face" w:eastAsia="LiberationSerif" w:hAnsi="Baskerville Old Face" w:cs="LiberationSerif"/>
          <w:sz w:val="24"/>
          <w:szCs w:val="24"/>
        </w:rPr>
        <w:t xml:space="preserve"> </w:t>
      </w:r>
      <w:r w:rsidRPr="0055288E">
        <w:rPr>
          <w:rFonts w:ascii="Baskerville Old Face" w:eastAsia="LiberationSerif" w:hAnsi="Baskerville Old Face" w:cs="LiberationSerif"/>
          <w:sz w:val="24"/>
          <w:szCs w:val="24"/>
        </w:rPr>
        <w:t>curves become sigmoidal in shape, which simplifies the interpretation of the dose–response curve.</w:t>
      </w:r>
    </w:p>
    <w:p w:rsidR="00C30DCE" w:rsidRDefault="00C30DCE" w:rsidP="0055288E">
      <w:pPr>
        <w:autoSpaceDE w:val="0"/>
        <w:autoSpaceDN w:val="0"/>
        <w:adjustRightInd w:val="0"/>
        <w:spacing w:after="0" w:line="240" w:lineRule="auto"/>
        <w:rPr>
          <w:rFonts w:ascii="LiberationSerif-Bold" w:hAnsi="LiberationSerif-Bold" w:cs="LiberationSerif-Bold"/>
          <w:b/>
          <w:bCs/>
          <w:i/>
          <w:color w:val="000000"/>
          <w:sz w:val="24"/>
          <w:szCs w:val="26"/>
        </w:rPr>
      </w:pPr>
    </w:p>
    <w:p w:rsidR="0055288E" w:rsidRDefault="00C30DCE" w:rsidP="0055288E">
      <w:pPr>
        <w:autoSpaceDE w:val="0"/>
        <w:autoSpaceDN w:val="0"/>
        <w:adjustRightInd w:val="0"/>
        <w:spacing w:after="0" w:line="240" w:lineRule="auto"/>
        <w:rPr>
          <w:rFonts w:ascii="Baskerville Old Face" w:eastAsia="LiberationSerif" w:hAnsi="Baskerville Old Face" w:cs="LiberationSerif"/>
          <w:b/>
          <w:sz w:val="24"/>
          <w:szCs w:val="20"/>
        </w:rPr>
      </w:pPr>
      <w:r w:rsidRPr="00C30DCE">
        <w:rPr>
          <w:rFonts w:ascii="LiberationSerif-Bold" w:hAnsi="LiberationSerif-Bold" w:cs="LiberationSerif-Bold"/>
          <w:b/>
          <w:bCs/>
          <w:i/>
          <w:color w:val="000000"/>
          <w:sz w:val="24"/>
          <w:szCs w:val="26"/>
        </w:rPr>
        <w:t>STUDY QUESTION:</w:t>
      </w:r>
      <w:r>
        <w:rPr>
          <w:rFonts w:ascii="LiberationSerif-Bold" w:hAnsi="LiberationSerif-Bold" w:cs="LiberationSerif-Bold"/>
          <w:b/>
          <w:bCs/>
          <w:i/>
          <w:color w:val="000000"/>
          <w:sz w:val="24"/>
          <w:szCs w:val="26"/>
        </w:rPr>
        <w:t xml:space="preserve"> </w:t>
      </w:r>
      <w:r w:rsidRPr="00C30DCE">
        <w:rPr>
          <w:rFonts w:ascii="Baskerville Old Face" w:eastAsia="LiberationSerif" w:hAnsi="Baskerville Old Face" w:cs="LiberationSerif"/>
          <w:b/>
          <w:sz w:val="24"/>
          <w:szCs w:val="20"/>
        </w:rPr>
        <w:t xml:space="preserve">If 1 mg of </w:t>
      </w:r>
      <w:proofErr w:type="spellStart"/>
      <w:r w:rsidRPr="00C30DCE">
        <w:rPr>
          <w:rFonts w:ascii="Baskerville Old Face" w:eastAsia="LiberationSerif" w:hAnsi="Baskerville Old Face" w:cs="LiberationSerif"/>
          <w:b/>
          <w:sz w:val="24"/>
          <w:szCs w:val="20"/>
        </w:rPr>
        <w:t>lorazepam</w:t>
      </w:r>
      <w:proofErr w:type="spellEnd"/>
      <w:r w:rsidRPr="00C30DCE">
        <w:rPr>
          <w:rFonts w:ascii="Baskerville Old Face" w:eastAsia="LiberationSerif" w:hAnsi="Baskerville Old Face" w:cs="LiberationSerif"/>
          <w:b/>
          <w:sz w:val="24"/>
          <w:szCs w:val="20"/>
        </w:rPr>
        <w:t xml:space="preserve"> produces the same anxiolytic resp</w:t>
      </w:r>
      <w:r>
        <w:rPr>
          <w:rFonts w:ascii="Baskerville Old Face" w:eastAsia="LiberationSerif" w:hAnsi="Baskerville Old Face" w:cs="LiberationSerif"/>
          <w:b/>
          <w:sz w:val="24"/>
          <w:szCs w:val="20"/>
        </w:rPr>
        <w:t>onse as 10 mg of diazepam, what</w:t>
      </w:r>
      <w:r w:rsidRPr="00C30DCE">
        <w:rPr>
          <w:rFonts w:ascii="Baskerville Old Face" w:eastAsia="LiberationSerif" w:hAnsi="Baskerville Old Face" w:cs="LiberationSerif"/>
          <w:b/>
          <w:sz w:val="24"/>
          <w:szCs w:val="20"/>
        </w:rPr>
        <w:t xml:space="preserve"> is correct?</w:t>
      </w:r>
    </w:p>
    <w:p w:rsidR="00C30DCE" w:rsidRPr="00C30DCE" w:rsidRDefault="00C30DCE" w:rsidP="0055288E">
      <w:pPr>
        <w:autoSpaceDE w:val="0"/>
        <w:autoSpaceDN w:val="0"/>
        <w:adjustRightInd w:val="0"/>
        <w:spacing w:after="0" w:line="240" w:lineRule="auto"/>
        <w:rPr>
          <w:rFonts w:ascii="Baskerville Old Face" w:hAnsi="Baskerville Old Face" w:cs="LiberationSerif-Bold"/>
          <w:b/>
          <w:bCs/>
          <w:color w:val="000000"/>
          <w:sz w:val="32"/>
          <w:szCs w:val="26"/>
        </w:rPr>
      </w:pPr>
      <w:r>
        <w:rPr>
          <w:rFonts w:ascii="Baskerville Old Face" w:eastAsia="LiberationSerif" w:hAnsi="Baskerville Old Face" w:cs="LiberationSerif"/>
          <w:b/>
          <w:sz w:val="24"/>
          <w:szCs w:val="20"/>
        </w:rPr>
        <w:t xml:space="preserve">ANS: </w:t>
      </w:r>
      <w:r w:rsidRPr="00C30DCE">
        <w:rPr>
          <w:rFonts w:ascii="Baskerville Old Face" w:eastAsia="LiberationSerif" w:hAnsi="Baskerville Old Face" w:cs="LiberationSerif"/>
          <w:b/>
          <w:sz w:val="24"/>
          <w:szCs w:val="20"/>
        </w:rPr>
        <w:t>A drug that causes the same effect at a lower dose is more potent.</w:t>
      </w:r>
    </w:p>
    <w:p w:rsidR="00362181" w:rsidRDefault="00362181" w:rsidP="0055288E">
      <w:pPr>
        <w:autoSpaceDE w:val="0"/>
        <w:autoSpaceDN w:val="0"/>
        <w:adjustRightInd w:val="0"/>
        <w:spacing w:after="0" w:line="276" w:lineRule="auto"/>
        <w:jc w:val="both"/>
        <w:rPr>
          <w:rFonts w:ascii="Baskerville Old Face" w:hAnsi="Baskerville Old Face" w:cs="LiberationSerif-Bold"/>
          <w:b/>
          <w:bCs/>
          <w:sz w:val="28"/>
          <w:szCs w:val="24"/>
        </w:rPr>
      </w:pPr>
    </w:p>
    <w:p w:rsidR="0055288E" w:rsidRPr="0055288E" w:rsidRDefault="0055288E" w:rsidP="0055288E">
      <w:pPr>
        <w:autoSpaceDE w:val="0"/>
        <w:autoSpaceDN w:val="0"/>
        <w:adjustRightInd w:val="0"/>
        <w:spacing w:after="0" w:line="276" w:lineRule="auto"/>
        <w:jc w:val="both"/>
        <w:rPr>
          <w:rFonts w:ascii="Baskerville Old Face" w:hAnsi="Baskerville Old Face" w:cs="LiberationSerif-Bold"/>
          <w:b/>
          <w:bCs/>
          <w:sz w:val="28"/>
          <w:szCs w:val="24"/>
        </w:rPr>
      </w:pPr>
      <w:r w:rsidRPr="0055288E">
        <w:rPr>
          <w:rFonts w:ascii="Baskerville Old Face" w:hAnsi="Baskerville Old Face" w:cs="LiberationSerif-Bold"/>
          <w:b/>
          <w:bCs/>
          <w:sz w:val="28"/>
          <w:szCs w:val="24"/>
        </w:rPr>
        <w:t>Efficacy</w:t>
      </w:r>
    </w:p>
    <w:p w:rsidR="0055288E" w:rsidRDefault="0055288E" w:rsidP="0055288E">
      <w:pPr>
        <w:autoSpaceDE w:val="0"/>
        <w:autoSpaceDN w:val="0"/>
        <w:adjustRightInd w:val="0"/>
        <w:spacing w:after="0" w:line="276" w:lineRule="auto"/>
        <w:jc w:val="both"/>
        <w:rPr>
          <w:rFonts w:ascii="Baskerville Old Face" w:eastAsia="LiberationSerif" w:hAnsi="Baskerville Old Face" w:cs="LiberationSerif"/>
          <w:sz w:val="24"/>
          <w:szCs w:val="24"/>
        </w:rPr>
      </w:pPr>
      <w:r w:rsidRPr="0055288E">
        <w:rPr>
          <w:rFonts w:ascii="Baskerville Old Face" w:eastAsia="LiberationSerif" w:hAnsi="Baskerville Old Face" w:cs="LiberationSerif"/>
          <w:sz w:val="24"/>
          <w:szCs w:val="24"/>
        </w:rPr>
        <w:t>Efficacy is the magnitude of response a drug causes when it interacts with a receptor. Efficacy is dependent on the number of drug–receptor complexes formed and the intrinsic activity of the drug (its ability to activate the receptor and cause a cellular response). Maximal efficacy of a drug (</w:t>
      </w:r>
      <w:proofErr w:type="spellStart"/>
      <w:r w:rsidRPr="0055288E">
        <w:rPr>
          <w:rFonts w:ascii="Baskerville Old Face" w:eastAsia="LiberationSerif" w:hAnsi="Baskerville Old Face" w:cs="LiberationSerif"/>
          <w:sz w:val="24"/>
          <w:szCs w:val="24"/>
        </w:rPr>
        <w:t>Emax</w:t>
      </w:r>
      <w:proofErr w:type="spellEnd"/>
      <w:r w:rsidRPr="0055288E">
        <w:rPr>
          <w:rFonts w:ascii="Baskerville Old Face" w:eastAsia="LiberationSerif" w:hAnsi="Baskerville Old Face" w:cs="LiberationSerif"/>
          <w:sz w:val="24"/>
          <w:szCs w:val="24"/>
        </w:rPr>
        <w:t xml:space="preserve">) assumes that the drug occupies all receptors, and no increase in response is observed in response to higher concentrations of drug. The maximal response differs between full and partial agonists, even when the drug occupies 100% of the receptors. Similarly, even though an antagonist occupies 100% of the receptor sites, no receptor activation results and </w:t>
      </w:r>
      <w:proofErr w:type="spellStart"/>
      <w:r w:rsidRPr="0055288E">
        <w:rPr>
          <w:rFonts w:ascii="Baskerville Old Face" w:eastAsia="LiberationSerif" w:hAnsi="Baskerville Old Face" w:cs="LiberationSerif"/>
          <w:sz w:val="24"/>
          <w:szCs w:val="24"/>
        </w:rPr>
        <w:t>Emax</w:t>
      </w:r>
      <w:proofErr w:type="spellEnd"/>
      <w:r w:rsidRPr="0055288E">
        <w:rPr>
          <w:rFonts w:ascii="Baskerville Old Face" w:eastAsia="LiberationSerif" w:hAnsi="Baskerville Old Face" w:cs="LiberationSerif"/>
          <w:sz w:val="24"/>
          <w:szCs w:val="24"/>
        </w:rPr>
        <w:t xml:space="preserve"> is zero. Efficacy is a more clinically useful characteristic than potency, since a drug with greater efficacy is more therapeutically beneficial than</w:t>
      </w:r>
      <w:r>
        <w:rPr>
          <w:rFonts w:ascii="Baskerville Old Face" w:eastAsia="LiberationSerif" w:hAnsi="Baskerville Old Face" w:cs="LiberationSerif"/>
          <w:sz w:val="24"/>
          <w:szCs w:val="24"/>
        </w:rPr>
        <w:t xml:space="preserve"> </w:t>
      </w:r>
      <w:r w:rsidRPr="0055288E">
        <w:rPr>
          <w:rFonts w:ascii="Baskerville Old Face" w:eastAsia="LiberationSerif" w:hAnsi="Baskerville Old Face" w:cs="LiberationSerif"/>
          <w:sz w:val="24"/>
          <w:szCs w:val="24"/>
        </w:rPr>
        <w:t xml:space="preserve">one that is more potent. Figure 2. </w:t>
      </w:r>
      <w:proofErr w:type="gramStart"/>
      <w:r w:rsidRPr="0055288E">
        <w:rPr>
          <w:rFonts w:ascii="Baskerville Old Face" w:eastAsia="LiberationSerif" w:hAnsi="Baskerville Old Face" w:cs="LiberationSerif"/>
          <w:sz w:val="24"/>
          <w:szCs w:val="24"/>
        </w:rPr>
        <w:t>shows</w:t>
      </w:r>
      <w:proofErr w:type="gramEnd"/>
      <w:r w:rsidRPr="0055288E">
        <w:rPr>
          <w:rFonts w:ascii="Baskerville Old Face" w:eastAsia="LiberationSerif" w:hAnsi="Baskerville Old Face" w:cs="LiberationSerif"/>
          <w:sz w:val="24"/>
          <w:szCs w:val="24"/>
        </w:rPr>
        <w:t xml:space="preserve"> the response to drugs of differing potency and efficacy.</w:t>
      </w:r>
    </w:p>
    <w:p w:rsidR="0055288E" w:rsidRDefault="0055288E" w:rsidP="0055288E">
      <w:pPr>
        <w:autoSpaceDE w:val="0"/>
        <w:autoSpaceDN w:val="0"/>
        <w:adjustRightInd w:val="0"/>
        <w:spacing w:after="0" w:line="276" w:lineRule="auto"/>
        <w:jc w:val="both"/>
        <w:rPr>
          <w:rFonts w:ascii="Baskerville Old Face" w:hAnsi="Baskerville Old Face"/>
          <w:spacing w:val="2"/>
          <w:sz w:val="24"/>
          <w:szCs w:val="24"/>
        </w:rPr>
      </w:pPr>
      <w:r w:rsidRPr="0055288E">
        <w:rPr>
          <w:rFonts w:ascii="Baskerville Old Face" w:hAnsi="Baskerville Old Face"/>
          <w:noProof/>
          <w:spacing w:val="2"/>
          <w:sz w:val="24"/>
          <w:szCs w:val="24"/>
        </w:rPr>
        <w:drawing>
          <wp:inline distT="0" distB="0" distL="0" distR="0">
            <wp:extent cx="3983221" cy="38881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7129" cy="3892003"/>
                    </a:xfrm>
                    <a:prstGeom prst="rect">
                      <a:avLst/>
                    </a:prstGeom>
                    <a:noFill/>
                    <a:ln>
                      <a:noFill/>
                    </a:ln>
                  </pic:spPr>
                </pic:pic>
              </a:graphicData>
            </a:graphic>
          </wp:inline>
        </w:drawing>
      </w:r>
    </w:p>
    <w:p w:rsidR="0055288E" w:rsidRDefault="0055288E" w:rsidP="0055288E">
      <w:pPr>
        <w:autoSpaceDE w:val="0"/>
        <w:autoSpaceDN w:val="0"/>
        <w:adjustRightInd w:val="0"/>
        <w:spacing w:after="0" w:line="240" w:lineRule="auto"/>
        <w:rPr>
          <w:rFonts w:ascii="Baskerville Old Face" w:eastAsia="LiberationSerif" w:hAnsi="Baskerville Old Face" w:cs="LiberationSerif"/>
          <w:b/>
          <w:sz w:val="20"/>
          <w:szCs w:val="20"/>
        </w:rPr>
      </w:pPr>
      <w:r w:rsidRPr="0055288E">
        <w:rPr>
          <w:rFonts w:ascii="Baskerville Old Face" w:hAnsi="Baskerville Old Face" w:cs="LiberationSerif-Bold"/>
          <w:b/>
          <w:bCs/>
          <w:sz w:val="20"/>
          <w:szCs w:val="20"/>
        </w:rPr>
        <w:t xml:space="preserve">Figure 2. </w:t>
      </w:r>
      <w:r w:rsidRPr="0055288E">
        <w:rPr>
          <w:rFonts w:ascii="Baskerville Old Face" w:eastAsia="LiberationSerif" w:hAnsi="Baskerville Old Face" w:cs="LiberationSerif"/>
          <w:b/>
          <w:sz w:val="20"/>
          <w:szCs w:val="20"/>
        </w:rPr>
        <w:t>Typical dose–response curve for drugs showing differences in potency and efficacy. EC50 = drug dose that shows 50% of maximal response.</w:t>
      </w:r>
    </w:p>
    <w:p w:rsidR="0055288E" w:rsidRDefault="0055288E" w:rsidP="0055288E">
      <w:pPr>
        <w:autoSpaceDE w:val="0"/>
        <w:autoSpaceDN w:val="0"/>
        <w:adjustRightInd w:val="0"/>
        <w:spacing w:after="0" w:line="240" w:lineRule="auto"/>
        <w:rPr>
          <w:rFonts w:ascii="Baskerville Old Face" w:eastAsia="LiberationSerif" w:hAnsi="Baskerville Old Face" w:cs="LiberationSerif"/>
          <w:b/>
          <w:sz w:val="20"/>
          <w:szCs w:val="20"/>
        </w:rPr>
      </w:pPr>
    </w:p>
    <w:p w:rsidR="00863D36" w:rsidRDefault="00863D36" w:rsidP="0055288E">
      <w:pPr>
        <w:autoSpaceDE w:val="0"/>
        <w:autoSpaceDN w:val="0"/>
        <w:adjustRightInd w:val="0"/>
        <w:spacing w:after="0" w:line="240" w:lineRule="auto"/>
        <w:rPr>
          <w:rFonts w:ascii="Baskerville Old Face" w:eastAsia="LiberationSerif" w:hAnsi="Baskerville Old Face" w:cs="LiberationSerif"/>
          <w:b/>
          <w:sz w:val="20"/>
          <w:szCs w:val="20"/>
        </w:rPr>
      </w:pPr>
    </w:p>
    <w:p w:rsidR="00362181" w:rsidRDefault="00362181" w:rsidP="0055288E">
      <w:pPr>
        <w:autoSpaceDE w:val="0"/>
        <w:autoSpaceDN w:val="0"/>
        <w:adjustRightInd w:val="0"/>
        <w:spacing w:after="0" w:line="240" w:lineRule="auto"/>
        <w:rPr>
          <w:rFonts w:ascii="Baskerville Old Face" w:eastAsia="LiberationSerif" w:hAnsi="Baskerville Old Face" w:cs="LiberationSerif"/>
          <w:b/>
          <w:sz w:val="20"/>
          <w:szCs w:val="20"/>
        </w:rPr>
      </w:pPr>
    </w:p>
    <w:p w:rsidR="00863D36" w:rsidRDefault="00863D36" w:rsidP="0055288E">
      <w:pPr>
        <w:autoSpaceDE w:val="0"/>
        <w:autoSpaceDN w:val="0"/>
        <w:adjustRightInd w:val="0"/>
        <w:spacing w:after="0" w:line="240" w:lineRule="auto"/>
        <w:rPr>
          <w:rFonts w:ascii="Baskerville Old Face" w:eastAsia="LiberationSerif" w:hAnsi="Baskerville Old Face" w:cs="LiberationSerif"/>
          <w:b/>
          <w:sz w:val="20"/>
          <w:szCs w:val="20"/>
        </w:rPr>
      </w:pPr>
    </w:p>
    <w:p w:rsidR="0055288E" w:rsidRPr="00863D36" w:rsidRDefault="0055288E" w:rsidP="0055288E">
      <w:pPr>
        <w:autoSpaceDE w:val="0"/>
        <w:autoSpaceDN w:val="0"/>
        <w:adjustRightInd w:val="0"/>
        <w:spacing w:after="0" w:line="240" w:lineRule="auto"/>
        <w:jc w:val="both"/>
        <w:rPr>
          <w:rFonts w:ascii="Baskerville Old Face" w:hAnsi="Baskerville Old Face" w:cs="LiberationSerif-Bold"/>
          <w:b/>
          <w:bCs/>
          <w:color w:val="000000"/>
          <w:sz w:val="28"/>
          <w:szCs w:val="24"/>
        </w:rPr>
      </w:pPr>
      <w:r w:rsidRPr="00863D36">
        <w:rPr>
          <w:rFonts w:ascii="Baskerville Old Face" w:hAnsi="Baskerville Old Face" w:cs="LiberationSerif-Bold"/>
          <w:b/>
          <w:bCs/>
          <w:color w:val="000000"/>
          <w:sz w:val="28"/>
          <w:szCs w:val="24"/>
        </w:rPr>
        <w:lastRenderedPageBreak/>
        <w:t>Effect of drug concentration on receptor binding</w:t>
      </w:r>
    </w:p>
    <w:p w:rsidR="0055288E" w:rsidRPr="0055288E" w:rsidRDefault="0055288E" w:rsidP="00863D3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55288E">
        <w:rPr>
          <w:rFonts w:ascii="Baskerville Old Face" w:eastAsia="LiberationSerif" w:hAnsi="Baskerville Old Face" w:cs="LiberationSerif"/>
          <w:color w:val="000000"/>
          <w:sz w:val="24"/>
          <w:szCs w:val="24"/>
        </w:rPr>
        <w:t>The quantitative relationship between drug concentration and receptor occupancy applies the law of mass action to</w:t>
      </w:r>
      <w:r w:rsidR="00863D36">
        <w:rPr>
          <w:rFonts w:ascii="Baskerville Old Face" w:eastAsia="LiberationSerif" w:hAnsi="Baskerville Old Face" w:cs="LiberationSerif"/>
          <w:color w:val="000000"/>
          <w:sz w:val="24"/>
          <w:szCs w:val="24"/>
        </w:rPr>
        <w:t xml:space="preserve"> </w:t>
      </w:r>
      <w:r w:rsidRPr="0055288E">
        <w:rPr>
          <w:rFonts w:ascii="Baskerville Old Face" w:eastAsia="LiberationSerif" w:hAnsi="Baskerville Old Face" w:cs="LiberationSerif"/>
          <w:color w:val="000000"/>
          <w:sz w:val="24"/>
          <w:szCs w:val="24"/>
        </w:rPr>
        <w:t>the kinetics of the binding of drug and receptor molecules:</w:t>
      </w:r>
    </w:p>
    <w:p w:rsidR="0055288E" w:rsidRPr="0055288E" w:rsidRDefault="0055288E" w:rsidP="00863D3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55288E">
        <w:rPr>
          <w:rFonts w:ascii="Baskerville Old Face" w:eastAsia="LiberationSerif" w:hAnsi="Baskerville Old Face" w:cs="LiberationSerif"/>
          <w:color w:val="000000"/>
          <w:sz w:val="24"/>
          <w:szCs w:val="24"/>
        </w:rPr>
        <w:t>By making the assumption that the binding of one drug molecule does not alter the binding of subsequent molecules</w:t>
      </w:r>
      <w:r w:rsidR="00863D36">
        <w:rPr>
          <w:rFonts w:ascii="Baskerville Old Face" w:eastAsia="LiberationSerif" w:hAnsi="Baskerville Old Face" w:cs="LiberationSerif"/>
          <w:color w:val="000000"/>
          <w:sz w:val="24"/>
          <w:szCs w:val="24"/>
        </w:rPr>
        <w:t xml:space="preserve"> </w:t>
      </w:r>
      <w:r w:rsidRPr="0055288E">
        <w:rPr>
          <w:rFonts w:ascii="Baskerville Old Face" w:eastAsia="LiberationSerif" w:hAnsi="Baskerville Old Face" w:cs="LiberationSerif"/>
          <w:color w:val="000000"/>
          <w:sz w:val="24"/>
          <w:szCs w:val="24"/>
        </w:rPr>
        <w:t>and applying the law of mass action, we can mathematically express the relationship between the percentage (or</w:t>
      </w:r>
      <w:r w:rsidR="00863D36">
        <w:rPr>
          <w:rFonts w:ascii="Baskerville Old Face" w:eastAsia="LiberationSerif" w:hAnsi="Baskerville Old Face" w:cs="LiberationSerif"/>
          <w:color w:val="000000"/>
          <w:sz w:val="24"/>
          <w:szCs w:val="24"/>
        </w:rPr>
        <w:t xml:space="preserve"> </w:t>
      </w:r>
      <w:r w:rsidRPr="0055288E">
        <w:rPr>
          <w:rFonts w:ascii="Baskerville Old Face" w:eastAsia="LiberationSerif" w:hAnsi="Baskerville Old Face" w:cs="LiberationSerif"/>
          <w:color w:val="000000"/>
          <w:sz w:val="24"/>
          <w:szCs w:val="24"/>
        </w:rPr>
        <w:t>fraction) of bound receptors and the drug concentration:</w:t>
      </w:r>
    </w:p>
    <w:p w:rsidR="0055288E" w:rsidRPr="0055288E" w:rsidRDefault="0055288E" w:rsidP="00863D3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55288E">
        <w:rPr>
          <w:rFonts w:ascii="Baskerville Old Face" w:eastAsia="LiberationSerif" w:hAnsi="Baskerville Old Face" w:cs="LiberationSerif"/>
          <w:color w:val="000000"/>
          <w:sz w:val="24"/>
          <w:szCs w:val="24"/>
        </w:rPr>
        <w:t xml:space="preserve">                     </w:t>
      </w:r>
      <w:r w:rsidRPr="0055288E">
        <w:rPr>
          <w:rFonts w:ascii="Baskerville Old Face" w:eastAsia="LiberationSerif" w:hAnsi="Baskerville Old Face" w:cs="LiberationSerif"/>
          <w:noProof/>
          <w:color w:val="000000"/>
          <w:sz w:val="24"/>
          <w:szCs w:val="24"/>
        </w:rPr>
        <w:drawing>
          <wp:inline distT="0" distB="0" distL="0" distR="0">
            <wp:extent cx="1693628" cy="704269"/>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53" cy="716921"/>
                    </a:xfrm>
                    <a:prstGeom prst="rect">
                      <a:avLst/>
                    </a:prstGeom>
                    <a:noFill/>
                    <a:ln>
                      <a:noFill/>
                    </a:ln>
                  </pic:spPr>
                </pic:pic>
              </a:graphicData>
            </a:graphic>
          </wp:inline>
        </w:drawing>
      </w:r>
    </w:p>
    <w:p w:rsidR="0055288E" w:rsidRPr="0055288E" w:rsidRDefault="0055288E" w:rsidP="00863D3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
    <w:p w:rsidR="0055288E" w:rsidRPr="00863D36" w:rsidRDefault="0055288E"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proofErr w:type="gramStart"/>
      <w:r w:rsidRPr="00863D36">
        <w:rPr>
          <w:rFonts w:ascii="Baskerville Old Face" w:eastAsia="LiberationSerif" w:hAnsi="Baskerville Old Face" w:cs="LiberationSerif"/>
          <w:sz w:val="24"/>
          <w:szCs w:val="24"/>
        </w:rPr>
        <w:t>where</w:t>
      </w:r>
      <w:proofErr w:type="gramEnd"/>
      <w:r w:rsidRPr="00863D36">
        <w:rPr>
          <w:rFonts w:ascii="Baskerville Old Face" w:eastAsia="LiberationSerif" w:hAnsi="Baskerville Old Face" w:cs="LiberationSerif"/>
          <w:sz w:val="24"/>
          <w:szCs w:val="24"/>
        </w:rPr>
        <w:t xml:space="preserve"> [D] = the concentration of free drug, [DR] = the concentration of bound drug, [</w:t>
      </w:r>
      <w:proofErr w:type="spellStart"/>
      <w:r w:rsidRPr="00863D36">
        <w:rPr>
          <w:rFonts w:ascii="Baskerville Old Face" w:eastAsia="LiberationSerif" w:hAnsi="Baskerville Old Face" w:cs="LiberationSerif"/>
          <w:sz w:val="24"/>
          <w:szCs w:val="24"/>
        </w:rPr>
        <w:t>Rt</w:t>
      </w:r>
      <w:proofErr w:type="spellEnd"/>
      <w:r w:rsidRPr="00863D36">
        <w:rPr>
          <w:rFonts w:ascii="Baskerville Old Face" w:eastAsia="LiberationSerif" w:hAnsi="Baskerville Old Face" w:cs="LiberationSerif"/>
          <w:sz w:val="24"/>
          <w:szCs w:val="24"/>
        </w:rPr>
        <w:t>] = the total number of</w:t>
      </w:r>
    </w:p>
    <w:p w:rsidR="0055288E" w:rsidRPr="00863D36" w:rsidRDefault="0055288E"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proofErr w:type="gramStart"/>
      <w:r w:rsidRPr="00863D36">
        <w:rPr>
          <w:rFonts w:ascii="Baskerville Old Face" w:eastAsia="LiberationSerif" w:hAnsi="Baskerville Old Face" w:cs="LiberationSerif"/>
          <w:sz w:val="24"/>
          <w:szCs w:val="24"/>
        </w:rPr>
        <w:t>receptors</w:t>
      </w:r>
      <w:proofErr w:type="gramEnd"/>
      <w:r w:rsidRPr="00863D36">
        <w:rPr>
          <w:rFonts w:ascii="Baskerville Old Face" w:eastAsia="LiberationSerif" w:hAnsi="Baskerville Old Face" w:cs="LiberationSerif"/>
          <w:sz w:val="24"/>
          <w:szCs w:val="24"/>
        </w:rPr>
        <w:t xml:space="preserve">, and </w:t>
      </w:r>
      <w:proofErr w:type="spellStart"/>
      <w:r w:rsidRPr="00863D36">
        <w:rPr>
          <w:rFonts w:ascii="Baskerville Old Face" w:eastAsia="LiberationSerif" w:hAnsi="Baskerville Old Face" w:cs="LiberationSerif"/>
          <w:sz w:val="24"/>
          <w:szCs w:val="24"/>
        </w:rPr>
        <w:t>Kd</w:t>
      </w:r>
      <w:proofErr w:type="spellEnd"/>
      <w:r w:rsidRPr="00863D36">
        <w:rPr>
          <w:rFonts w:ascii="Baskerville Old Face" w:eastAsia="LiberationSerif" w:hAnsi="Baskerville Old Face" w:cs="LiberationSerif"/>
          <w:sz w:val="24"/>
          <w:szCs w:val="24"/>
        </w:rPr>
        <w:t xml:space="preserve"> = the equilibrium dissociation constant for the drug from the receptor. The value of </w:t>
      </w:r>
      <w:proofErr w:type="spellStart"/>
      <w:proofErr w:type="gramStart"/>
      <w:r w:rsidRPr="00863D36">
        <w:rPr>
          <w:rFonts w:ascii="Baskerville Old Face" w:eastAsia="LiberationSerif" w:hAnsi="Baskerville Old Face" w:cs="LiberationSerif"/>
          <w:sz w:val="24"/>
          <w:szCs w:val="24"/>
        </w:rPr>
        <w:t>Kd</w:t>
      </w:r>
      <w:proofErr w:type="spellEnd"/>
      <w:proofErr w:type="gramEnd"/>
      <w:r w:rsidRPr="00863D36">
        <w:rPr>
          <w:rFonts w:ascii="Baskerville Old Face" w:eastAsia="LiberationSerif" w:hAnsi="Baskerville Old Face" w:cs="LiberationSerif"/>
          <w:sz w:val="24"/>
          <w:szCs w:val="24"/>
        </w:rPr>
        <w:t xml:space="preserve"> can be used</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to determine the affinity of a drug for its receptor. Affinity describes the strength of the interaction (binding)</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 xml:space="preserve">between a ligand and its receptor. The higher the </w:t>
      </w:r>
      <w:proofErr w:type="spellStart"/>
      <w:proofErr w:type="gramStart"/>
      <w:r w:rsidRPr="00863D36">
        <w:rPr>
          <w:rFonts w:ascii="Baskerville Old Face" w:eastAsia="LiberationSerif" w:hAnsi="Baskerville Old Face" w:cs="LiberationSerif"/>
          <w:sz w:val="24"/>
          <w:szCs w:val="24"/>
        </w:rPr>
        <w:t>Kd</w:t>
      </w:r>
      <w:proofErr w:type="spellEnd"/>
      <w:proofErr w:type="gramEnd"/>
      <w:r w:rsidRPr="00863D36">
        <w:rPr>
          <w:rFonts w:ascii="Baskerville Old Face" w:eastAsia="LiberationSerif" w:hAnsi="Baskerville Old Face" w:cs="LiberationSerif"/>
          <w:sz w:val="24"/>
          <w:szCs w:val="24"/>
        </w:rPr>
        <w:t xml:space="preserve"> value, the weaker the interaction and the lower the affinity, and</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 xml:space="preserve">vice versa. Equation (1) defines a curve that has the shapes shown in </w:t>
      </w:r>
      <w:r w:rsidR="00863D36" w:rsidRPr="00863D36">
        <w:rPr>
          <w:rFonts w:ascii="Baskerville Old Face" w:eastAsia="LiberationSerif" w:hAnsi="Baskerville Old Face" w:cs="LiberationSerif"/>
          <w:sz w:val="24"/>
          <w:szCs w:val="24"/>
        </w:rPr>
        <w:t>Figure 3</w:t>
      </w:r>
      <w:r w:rsidRPr="00863D36">
        <w:rPr>
          <w:rFonts w:ascii="Baskerville Old Face" w:eastAsia="LiberationSerif" w:hAnsi="Baskerville Old Face" w:cs="LiberationSerif"/>
          <w:sz w:val="24"/>
          <w:szCs w:val="24"/>
        </w:rPr>
        <w:t xml:space="preserve"> when plotted against drug</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concentration (Panel A) or log drug concentration (Panel B). As the concentration of free drug increases, the ratio of</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the concentrations of bound receptors to total receptors approaches unity, thereby producing the maximal effect.</w:t>
      </w:r>
    </w:p>
    <w:p w:rsidR="0055288E" w:rsidRPr="00863D36" w:rsidRDefault="0055288E" w:rsidP="0055288E">
      <w:pPr>
        <w:autoSpaceDE w:val="0"/>
        <w:autoSpaceDN w:val="0"/>
        <w:adjustRightInd w:val="0"/>
        <w:spacing w:after="0" w:line="240" w:lineRule="auto"/>
        <w:jc w:val="both"/>
        <w:rPr>
          <w:rFonts w:ascii="Baskerville Old Face" w:eastAsia="LiberationSerif" w:hAnsi="Baskerville Old Face" w:cs="LiberationSerif"/>
          <w:sz w:val="24"/>
          <w:szCs w:val="24"/>
        </w:rPr>
      </w:pPr>
      <w:r w:rsidRPr="00863D36">
        <w:rPr>
          <w:rFonts w:ascii="Baskerville Old Face" w:eastAsia="LiberationSerif" w:hAnsi="Baskerville Old Face" w:cs="LiberationSerif"/>
          <w:sz w:val="24"/>
          <w:szCs w:val="24"/>
        </w:rPr>
        <w:t xml:space="preserve">Thus, it is not surprising that the curves shown in </w:t>
      </w:r>
      <w:r w:rsidR="00863D36" w:rsidRPr="00863D36">
        <w:rPr>
          <w:rFonts w:ascii="Baskerville Old Face" w:eastAsia="LiberationSerif" w:hAnsi="Baskerville Old Face" w:cs="LiberationSerif"/>
          <w:sz w:val="24"/>
          <w:szCs w:val="24"/>
        </w:rPr>
        <w:t>Figure 3</w:t>
      </w:r>
      <w:r w:rsidRPr="00863D36">
        <w:rPr>
          <w:rFonts w:ascii="Baskerville Old Face" w:eastAsia="LiberationSerif" w:hAnsi="Baskerville Old Face" w:cs="LiberationSerif"/>
          <w:sz w:val="24"/>
          <w:szCs w:val="24"/>
        </w:rPr>
        <w:t xml:space="preserve"> and those representing the relationship between dose</w:t>
      </w:r>
      <w:r w:rsidR="00863D36" w:rsidRPr="00863D36">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and effect (</w:t>
      </w:r>
      <w:r w:rsidR="00863D36" w:rsidRPr="00863D36">
        <w:rPr>
          <w:rFonts w:ascii="Baskerville Old Face" w:eastAsia="LiberationSerif" w:hAnsi="Baskerville Old Face" w:cs="LiberationSerif"/>
          <w:sz w:val="24"/>
          <w:szCs w:val="24"/>
        </w:rPr>
        <w:t>Figure 1</w:t>
      </w:r>
      <w:r w:rsidRPr="00863D36">
        <w:rPr>
          <w:rFonts w:ascii="Baskerville Old Face" w:eastAsia="LiberationSerif" w:hAnsi="Baskerville Old Face" w:cs="LiberationSerif"/>
          <w:sz w:val="24"/>
          <w:szCs w:val="24"/>
        </w:rPr>
        <w:t>) are similar.</w:t>
      </w:r>
    </w:p>
    <w:p w:rsidR="0055288E" w:rsidRDefault="00863D36" w:rsidP="0055288E">
      <w:pPr>
        <w:autoSpaceDE w:val="0"/>
        <w:autoSpaceDN w:val="0"/>
        <w:adjustRightInd w:val="0"/>
        <w:spacing w:after="0" w:line="240" w:lineRule="auto"/>
        <w:jc w:val="both"/>
        <w:rPr>
          <w:rFonts w:ascii="Baskerville Old Face" w:hAnsi="Baskerville Old Face"/>
          <w:b/>
          <w:spacing w:val="2"/>
          <w:sz w:val="24"/>
          <w:szCs w:val="24"/>
        </w:rPr>
      </w:pPr>
      <w:r w:rsidRPr="00863D36">
        <w:rPr>
          <w:rFonts w:ascii="Baskerville Old Face" w:hAnsi="Baskerville Old Face"/>
          <w:b/>
          <w:noProof/>
          <w:spacing w:val="2"/>
          <w:sz w:val="24"/>
          <w:szCs w:val="24"/>
        </w:rPr>
        <w:lastRenderedPageBreak/>
        <w:drawing>
          <wp:inline distT="0" distB="0" distL="0" distR="0">
            <wp:extent cx="4455116" cy="568518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3381" cy="5695730"/>
                    </a:xfrm>
                    <a:prstGeom prst="rect">
                      <a:avLst/>
                    </a:prstGeom>
                    <a:noFill/>
                    <a:ln>
                      <a:noFill/>
                    </a:ln>
                  </pic:spPr>
                </pic:pic>
              </a:graphicData>
            </a:graphic>
          </wp:inline>
        </w:drawing>
      </w:r>
    </w:p>
    <w:p w:rsidR="00863D36" w:rsidRDefault="00863D36" w:rsidP="0055288E">
      <w:pPr>
        <w:autoSpaceDE w:val="0"/>
        <w:autoSpaceDN w:val="0"/>
        <w:adjustRightInd w:val="0"/>
        <w:spacing w:after="0" w:line="240" w:lineRule="auto"/>
        <w:jc w:val="both"/>
        <w:rPr>
          <w:rFonts w:ascii="Baskerville Old Face" w:eastAsia="LiberationSerif" w:hAnsi="Baskerville Old Face" w:cs="LiberationSerif"/>
          <w:b/>
          <w:szCs w:val="26"/>
        </w:rPr>
      </w:pPr>
      <w:r w:rsidRPr="00863D36">
        <w:rPr>
          <w:rFonts w:ascii="Baskerville Old Face" w:hAnsi="Baskerville Old Face" w:cs="LiberationSerif-Bold"/>
          <w:b/>
          <w:bCs/>
          <w:szCs w:val="26"/>
        </w:rPr>
        <w:t xml:space="preserve">Figure 3. </w:t>
      </w:r>
      <w:r w:rsidRPr="00863D36">
        <w:rPr>
          <w:rFonts w:ascii="Baskerville Old Face" w:eastAsia="LiberationSerif" w:hAnsi="Baskerville Old Face" w:cs="LiberationSerif"/>
          <w:b/>
          <w:szCs w:val="26"/>
        </w:rPr>
        <w:t>The effect of dose on the magnitude of drug binding.</w:t>
      </w:r>
    </w:p>
    <w:p w:rsidR="00863D36" w:rsidRDefault="00863D36" w:rsidP="0055288E">
      <w:pPr>
        <w:autoSpaceDE w:val="0"/>
        <w:autoSpaceDN w:val="0"/>
        <w:adjustRightInd w:val="0"/>
        <w:spacing w:after="0" w:line="240" w:lineRule="auto"/>
        <w:jc w:val="both"/>
        <w:rPr>
          <w:rFonts w:ascii="Baskerville Old Face" w:eastAsia="LiberationSerif" w:hAnsi="Baskerville Old Face" w:cs="LiberationSerif"/>
          <w:b/>
          <w:szCs w:val="26"/>
        </w:rPr>
      </w:pPr>
    </w:p>
    <w:p w:rsidR="00863D36" w:rsidRPr="00863D36" w:rsidRDefault="00863D36" w:rsidP="00863D36">
      <w:pPr>
        <w:autoSpaceDE w:val="0"/>
        <w:autoSpaceDN w:val="0"/>
        <w:adjustRightInd w:val="0"/>
        <w:spacing w:after="0" w:line="276" w:lineRule="auto"/>
        <w:jc w:val="both"/>
        <w:rPr>
          <w:rFonts w:ascii="Baskerville Old Face" w:hAnsi="Baskerville Old Face" w:cs="LiberationSerif-Bold"/>
          <w:b/>
          <w:bCs/>
          <w:sz w:val="24"/>
          <w:szCs w:val="24"/>
        </w:rPr>
      </w:pPr>
      <w:r w:rsidRPr="00863D36">
        <w:rPr>
          <w:rFonts w:ascii="Baskerville Old Face" w:hAnsi="Baskerville Old Face" w:cs="LiberationSerif-Bold"/>
          <w:b/>
          <w:bCs/>
          <w:sz w:val="24"/>
          <w:szCs w:val="24"/>
        </w:rPr>
        <w:t>Relationship of drug binding to pharmacologic effect</w:t>
      </w:r>
    </w:p>
    <w:p w:rsidR="00863D36" w:rsidRDefault="00863D36"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r w:rsidRPr="00863D36">
        <w:rPr>
          <w:rFonts w:ascii="Baskerville Old Face" w:eastAsia="LiberationSerif" w:hAnsi="Baskerville Old Face" w:cs="LiberationSerif"/>
          <w:sz w:val="24"/>
          <w:szCs w:val="24"/>
        </w:rPr>
        <w:t xml:space="preserve">The law of mass action can be applied to drug concentration and response providing the following assumptions are met: 1) The magnitude of the response is proportional to the amount of receptors occupied by drug, 2) the </w:t>
      </w:r>
      <w:proofErr w:type="spellStart"/>
      <w:r w:rsidRPr="00863D36">
        <w:rPr>
          <w:rFonts w:ascii="Baskerville Old Face" w:eastAsia="LiberationSerif" w:hAnsi="Baskerville Old Face" w:cs="LiberationSerif"/>
          <w:sz w:val="24"/>
          <w:szCs w:val="24"/>
        </w:rPr>
        <w:t>Emax</w:t>
      </w:r>
      <w:proofErr w:type="spellEnd"/>
      <w:r w:rsidRPr="00863D36">
        <w:rPr>
          <w:rFonts w:ascii="Baskerville Old Face" w:eastAsia="LiberationSerif" w:hAnsi="Baskerville Old Face" w:cs="LiberationSerif"/>
          <w:sz w:val="24"/>
          <w:szCs w:val="24"/>
        </w:rPr>
        <w:t xml:space="preserve"> occurs when all receptors are bound, and 3) one molecule of drug binds to only one molecule of receptor. In this</w:t>
      </w:r>
      <w:r w:rsidR="0050493D">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sz w:val="24"/>
          <w:szCs w:val="24"/>
        </w:rPr>
        <w:t>case,</w:t>
      </w:r>
    </w:p>
    <w:p w:rsidR="00863D36" w:rsidRPr="00863D36" w:rsidRDefault="00863D36"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r>
        <w:rPr>
          <w:rFonts w:ascii="Baskerville Old Face" w:eastAsia="LiberationSerif" w:hAnsi="Baskerville Old Face" w:cs="LiberationSerif"/>
          <w:sz w:val="24"/>
          <w:szCs w:val="24"/>
        </w:rPr>
        <w:t xml:space="preserve">                                        </w:t>
      </w:r>
      <w:r w:rsidRPr="00863D36">
        <w:rPr>
          <w:rFonts w:ascii="Baskerville Old Face" w:eastAsia="LiberationSerif" w:hAnsi="Baskerville Old Face" w:cs="LiberationSerif"/>
          <w:noProof/>
          <w:sz w:val="24"/>
          <w:szCs w:val="24"/>
        </w:rPr>
        <w:drawing>
          <wp:inline distT="0" distB="0" distL="0" distR="0">
            <wp:extent cx="1415333" cy="635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287" cy="646333"/>
                    </a:xfrm>
                    <a:prstGeom prst="rect">
                      <a:avLst/>
                    </a:prstGeom>
                    <a:noFill/>
                    <a:ln>
                      <a:noFill/>
                    </a:ln>
                  </pic:spPr>
                </pic:pic>
              </a:graphicData>
            </a:graphic>
          </wp:inline>
        </w:drawing>
      </w:r>
    </w:p>
    <w:p w:rsidR="00863D36" w:rsidRPr="00863D36" w:rsidRDefault="00863D36"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p>
    <w:p w:rsidR="00863D36" w:rsidRPr="00863D36" w:rsidRDefault="0050493D"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r w:rsidRPr="00863D36">
        <w:rPr>
          <w:rFonts w:ascii="Baskerville Old Face" w:eastAsia="LiberationSerif" w:hAnsi="Baskerville Old Face" w:cs="LiberationSerif"/>
          <w:sz w:val="24"/>
          <w:szCs w:val="24"/>
        </w:rPr>
        <w:t>Where</w:t>
      </w:r>
      <w:r w:rsidR="00863D36" w:rsidRPr="00863D36">
        <w:rPr>
          <w:rFonts w:ascii="Baskerville Old Face" w:eastAsia="LiberationSerif" w:hAnsi="Baskerville Old Face" w:cs="LiberationSerif"/>
          <w:sz w:val="24"/>
          <w:szCs w:val="24"/>
        </w:rPr>
        <w:t xml:space="preserve"> [E] = the effect of the drug at concentration [D] and [</w:t>
      </w:r>
      <w:proofErr w:type="spellStart"/>
      <w:r w:rsidR="00863D36" w:rsidRPr="00863D36">
        <w:rPr>
          <w:rFonts w:ascii="Baskerville Old Face" w:eastAsia="LiberationSerif" w:hAnsi="Baskerville Old Face" w:cs="LiberationSerif"/>
          <w:sz w:val="24"/>
          <w:szCs w:val="24"/>
        </w:rPr>
        <w:t>Emax</w:t>
      </w:r>
      <w:proofErr w:type="spellEnd"/>
      <w:r w:rsidR="00863D36" w:rsidRPr="00863D36">
        <w:rPr>
          <w:rFonts w:ascii="Baskerville Old Face" w:eastAsia="LiberationSerif" w:hAnsi="Baskerville Old Face" w:cs="LiberationSerif"/>
          <w:sz w:val="24"/>
          <w:szCs w:val="24"/>
        </w:rPr>
        <w:t>] = the maximal effect of the drug.</w:t>
      </w:r>
    </w:p>
    <w:p w:rsidR="00863D36" w:rsidRDefault="00863D36"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r w:rsidRPr="00863D36">
        <w:rPr>
          <w:rFonts w:ascii="Baskerville Old Face" w:eastAsia="LiberationSerif" w:hAnsi="Baskerville Old Face" w:cs="LiberationSerif"/>
          <w:sz w:val="24"/>
          <w:szCs w:val="24"/>
        </w:rPr>
        <w:t xml:space="preserve">Thus, it follows that if a specific population of receptors is vital for mediating a physiological effect, the affinity of an agonist for binding to those receptors should be related to the potency of that drug for causing that physiological effect. Many drugs and most neurotransmitters can bind to more than one type of receptor, thereby </w:t>
      </w:r>
      <w:r w:rsidRPr="00863D36">
        <w:rPr>
          <w:rFonts w:ascii="Baskerville Old Face" w:eastAsia="LiberationSerif" w:hAnsi="Baskerville Old Face" w:cs="LiberationSerif"/>
          <w:sz w:val="24"/>
          <w:szCs w:val="24"/>
        </w:rPr>
        <w:lastRenderedPageBreak/>
        <w:t>causing both desired therapeutic effects and undesired adverse effects. In order to establish a relationship between drug occupation of a particular receptor subtype and the corresponding biological response to that drug, correlation curves of receptor affinity and drug potency are often constructed.</w:t>
      </w:r>
    </w:p>
    <w:p w:rsidR="00863D36" w:rsidRDefault="00863D36" w:rsidP="00863D36">
      <w:pPr>
        <w:autoSpaceDE w:val="0"/>
        <w:autoSpaceDN w:val="0"/>
        <w:adjustRightInd w:val="0"/>
        <w:spacing w:after="0" w:line="276" w:lineRule="auto"/>
        <w:jc w:val="both"/>
        <w:rPr>
          <w:rFonts w:ascii="Baskerville Old Face" w:hAnsi="Baskerville Old Face" w:cs="LiberationSerif-Bold"/>
          <w:b/>
          <w:bCs/>
          <w:sz w:val="28"/>
          <w:szCs w:val="24"/>
        </w:rPr>
      </w:pPr>
    </w:p>
    <w:p w:rsidR="00863D36" w:rsidRPr="00863D36" w:rsidRDefault="00863D36" w:rsidP="00863D36">
      <w:pPr>
        <w:autoSpaceDE w:val="0"/>
        <w:autoSpaceDN w:val="0"/>
        <w:adjustRightInd w:val="0"/>
        <w:spacing w:after="0" w:line="276" w:lineRule="auto"/>
        <w:jc w:val="both"/>
        <w:rPr>
          <w:rFonts w:ascii="Baskerville Old Face" w:hAnsi="Baskerville Old Face" w:cs="LiberationSerif-Bold"/>
          <w:b/>
          <w:bCs/>
          <w:sz w:val="28"/>
          <w:szCs w:val="24"/>
        </w:rPr>
      </w:pPr>
      <w:r w:rsidRPr="00863D36">
        <w:rPr>
          <w:rFonts w:ascii="Baskerville Old Face" w:hAnsi="Baskerville Old Face" w:cs="LiberationSerif-Bold"/>
          <w:b/>
          <w:bCs/>
          <w:sz w:val="28"/>
          <w:szCs w:val="24"/>
        </w:rPr>
        <w:t>Intrinsic Activity</w:t>
      </w:r>
    </w:p>
    <w:p w:rsidR="00863D36" w:rsidRDefault="00863D36" w:rsidP="00863D36">
      <w:pPr>
        <w:autoSpaceDE w:val="0"/>
        <w:autoSpaceDN w:val="0"/>
        <w:adjustRightInd w:val="0"/>
        <w:spacing w:after="0" w:line="276" w:lineRule="auto"/>
        <w:jc w:val="both"/>
        <w:rPr>
          <w:rFonts w:ascii="Baskerville Old Face" w:eastAsia="LiberationSerif" w:hAnsi="Baskerville Old Face" w:cs="LiberationSerif"/>
          <w:sz w:val="24"/>
          <w:szCs w:val="24"/>
        </w:rPr>
      </w:pPr>
      <w:r>
        <w:rPr>
          <w:rFonts w:ascii="Baskerville Old Face" w:eastAsia="LiberationSerif" w:hAnsi="Baskerville Old Face" w:cs="LiberationSerif"/>
          <w:sz w:val="24"/>
          <w:szCs w:val="24"/>
        </w:rPr>
        <w:t>As mentioned before</w:t>
      </w:r>
      <w:r w:rsidRPr="00863D36">
        <w:rPr>
          <w:rFonts w:ascii="Baskerville Old Face" w:eastAsia="LiberationSerif" w:hAnsi="Baskerville Old Face" w:cs="LiberationSerif"/>
          <w:sz w:val="24"/>
          <w:szCs w:val="24"/>
        </w:rPr>
        <w:t xml:space="preserve">, an agonist binds to a receptor and produces a biologic response based on the concentration of the agonist, its affinity for the receptor and, hence, the fraction of occupied receptors. However, the intrinsic activity of a drug further determines its ability to fully or partially activate the receptors. Drugs may be categorized according to their intrinsic activity and resulting </w:t>
      </w:r>
      <w:proofErr w:type="spellStart"/>
      <w:r w:rsidRPr="00863D36">
        <w:rPr>
          <w:rFonts w:ascii="Baskerville Old Face" w:eastAsia="LiberationSerif" w:hAnsi="Baskerville Old Face" w:cs="LiberationSerif"/>
          <w:sz w:val="24"/>
          <w:szCs w:val="24"/>
        </w:rPr>
        <w:t>Emax</w:t>
      </w:r>
      <w:proofErr w:type="spellEnd"/>
      <w:r w:rsidRPr="00863D36">
        <w:rPr>
          <w:rFonts w:ascii="Baskerville Old Face" w:eastAsia="LiberationSerif" w:hAnsi="Baskerville Old Face" w:cs="LiberationSerif"/>
          <w:sz w:val="24"/>
          <w:szCs w:val="24"/>
        </w:rPr>
        <w:t xml:space="preserve"> values.</w:t>
      </w:r>
    </w:p>
    <w:p w:rsidR="00863D36" w:rsidRPr="00863D36" w:rsidRDefault="00863D36" w:rsidP="00863D36">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863D36">
        <w:rPr>
          <w:rFonts w:ascii="Baskerville Old Face" w:hAnsi="Baskerville Old Face" w:cs="LiberationSerif-Bold"/>
          <w:b/>
          <w:bCs/>
          <w:color w:val="000000"/>
          <w:sz w:val="24"/>
          <w:szCs w:val="24"/>
        </w:rPr>
        <w:t>Full agonists</w:t>
      </w:r>
    </w:p>
    <w:p w:rsidR="00863D36" w:rsidRPr="00863D36" w:rsidRDefault="00863D36" w:rsidP="00863D3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863D36">
        <w:rPr>
          <w:rFonts w:ascii="Baskerville Old Face" w:eastAsia="LiberationSerif" w:hAnsi="Baskerville Old Face" w:cs="LiberationSerif"/>
          <w:color w:val="000000"/>
          <w:sz w:val="24"/>
          <w:szCs w:val="24"/>
        </w:rPr>
        <w:t xml:space="preserve">If a drug binds to a receptor and </w:t>
      </w:r>
      <w:r w:rsidRPr="00B72E98">
        <w:rPr>
          <w:rFonts w:ascii="Baskerville Old Face" w:eastAsia="LiberationSerif" w:hAnsi="Baskerville Old Face" w:cs="LiberationSerif"/>
          <w:sz w:val="24"/>
          <w:szCs w:val="24"/>
        </w:rPr>
        <w:t xml:space="preserve">produces a maximal biologic response that mimics the response to the endogenous ligand, it is a full agonist (Figure 4). Full agonists bind to a receptor, stabilizing the receptor in its active state and are said to have an intrinsic activity </w:t>
      </w:r>
      <w:r w:rsidRPr="00863D36">
        <w:rPr>
          <w:rFonts w:ascii="Baskerville Old Face" w:eastAsia="LiberationSerif" w:hAnsi="Baskerville Old Face" w:cs="LiberationSerif"/>
          <w:color w:val="000000"/>
          <w:sz w:val="24"/>
          <w:szCs w:val="24"/>
        </w:rPr>
        <w:t xml:space="preserve">of one. All full agonists for a receptor population should produce the same </w:t>
      </w:r>
      <w:proofErr w:type="spellStart"/>
      <w:r w:rsidRPr="00863D36">
        <w:rPr>
          <w:rFonts w:ascii="Baskerville Old Face" w:eastAsia="LiberationSerif" w:hAnsi="Baskerville Old Face" w:cs="LiberationSerif"/>
          <w:color w:val="000000"/>
          <w:sz w:val="24"/>
          <w:szCs w:val="24"/>
        </w:rPr>
        <w:t>Emax</w:t>
      </w:r>
      <w:proofErr w:type="spellEnd"/>
      <w:r w:rsidRPr="00863D36">
        <w:rPr>
          <w:rFonts w:ascii="Baskerville Old Face" w:eastAsia="LiberationSerif" w:hAnsi="Baskerville Old Face" w:cs="LiberationSerif"/>
          <w:color w:val="000000"/>
          <w:sz w:val="24"/>
          <w:szCs w:val="24"/>
        </w:rPr>
        <w:t>.</w:t>
      </w:r>
    </w:p>
    <w:p w:rsidR="00863D36" w:rsidRPr="00863D36" w:rsidRDefault="00863D36" w:rsidP="00362181">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863D36">
        <w:rPr>
          <w:rFonts w:ascii="Baskerville Old Face" w:eastAsia="LiberationSerif" w:hAnsi="Baskerville Old Face" w:cs="LiberationSerif"/>
          <w:color w:val="000000"/>
          <w:sz w:val="24"/>
          <w:szCs w:val="24"/>
        </w:rPr>
        <w:t xml:space="preserve">For example, </w:t>
      </w:r>
      <w:r w:rsidRPr="00863D36">
        <w:rPr>
          <w:rFonts w:ascii="Baskerville Old Face" w:hAnsi="Baskerville Old Face" w:cs="LiberationSerif-Italic"/>
          <w:i/>
          <w:iCs/>
          <w:color w:val="000000"/>
          <w:sz w:val="24"/>
          <w:szCs w:val="24"/>
        </w:rPr>
        <w:t xml:space="preserve">phenylephrine </w:t>
      </w:r>
      <w:r w:rsidRPr="00863D36">
        <w:rPr>
          <w:rFonts w:ascii="Baskerville Old Face" w:eastAsia="LiberationSerif" w:hAnsi="Baskerville Old Face" w:cs="LiberationSerif"/>
          <w:color w:val="000000"/>
          <w:sz w:val="24"/>
          <w:szCs w:val="24"/>
        </w:rPr>
        <w:t xml:space="preserve">is a full agonist at </w:t>
      </w:r>
      <w:r w:rsidRPr="00863D36">
        <w:rPr>
          <w:rFonts w:ascii="Cambria" w:eastAsia="LiberationSerif" w:hAnsi="Cambria" w:cs="Cambria"/>
          <w:color w:val="000000"/>
          <w:sz w:val="24"/>
          <w:szCs w:val="24"/>
        </w:rPr>
        <w:t>α</w:t>
      </w:r>
      <w:r w:rsidRPr="00863D36">
        <w:rPr>
          <w:rFonts w:ascii="Baskerville Old Face" w:eastAsia="LiberationSerif" w:hAnsi="Baskerville Old Face" w:cs="LiberationSerif"/>
          <w:color w:val="000000"/>
          <w:sz w:val="24"/>
          <w:szCs w:val="24"/>
        </w:rPr>
        <w:t xml:space="preserve">1-adrenoceptors, because it produces the same </w:t>
      </w:r>
      <w:proofErr w:type="spellStart"/>
      <w:r w:rsidRPr="00863D36">
        <w:rPr>
          <w:rFonts w:ascii="Baskerville Old Face" w:eastAsia="LiberationSerif" w:hAnsi="Baskerville Old Face" w:cs="LiberationSerif"/>
          <w:color w:val="000000"/>
          <w:sz w:val="24"/>
          <w:szCs w:val="24"/>
        </w:rPr>
        <w:t>Emax</w:t>
      </w:r>
      <w:proofErr w:type="spellEnd"/>
      <w:r w:rsidRPr="00863D36">
        <w:rPr>
          <w:rFonts w:ascii="Baskerville Old Face" w:eastAsia="LiberationSerif" w:hAnsi="Baskerville Old Face" w:cs="LiberationSerif"/>
          <w:color w:val="000000"/>
          <w:sz w:val="24"/>
          <w:szCs w:val="24"/>
        </w:rPr>
        <w:t xml:space="preserve"> as the</w:t>
      </w:r>
    </w:p>
    <w:p w:rsidR="00863D36" w:rsidRPr="00863D36" w:rsidRDefault="00863D36" w:rsidP="00362181">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roofErr w:type="gramStart"/>
      <w:r w:rsidRPr="00863D36">
        <w:rPr>
          <w:rFonts w:ascii="Baskerville Old Face" w:eastAsia="LiberationSerif" w:hAnsi="Baskerville Old Face" w:cs="LiberationSerif"/>
          <w:color w:val="000000"/>
          <w:sz w:val="24"/>
          <w:szCs w:val="24"/>
        </w:rPr>
        <w:t>endogenous</w:t>
      </w:r>
      <w:proofErr w:type="gramEnd"/>
      <w:r w:rsidRPr="00863D36">
        <w:rPr>
          <w:rFonts w:ascii="Baskerville Old Face" w:eastAsia="LiberationSerif" w:hAnsi="Baskerville Old Face" w:cs="LiberationSerif"/>
          <w:color w:val="000000"/>
          <w:sz w:val="24"/>
          <w:szCs w:val="24"/>
        </w:rPr>
        <w:t xml:space="preserve"> ligand, norepinephrine. Upon binding to </w:t>
      </w:r>
      <w:r w:rsidRPr="00863D36">
        <w:rPr>
          <w:rFonts w:ascii="Cambria" w:eastAsia="LiberationSerif" w:hAnsi="Cambria" w:cs="Cambria"/>
          <w:color w:val="000000"/>
          <w:sz w:val="24"/>
          <w:szCs w:val="24"/>
        </w:rPr>
        <w:t>α</w:t>
      </w:r>
      <w:r w:rsidRPr="00863D36">
        <w:rPr>
          <w:rFonts w:ascii="Baskerville Old Face" w:eastAsia="LiberationSerif" w:hAnsi="Baskerville Old Face" w:cs="LiberationSerif"/>
          <w:color w:val="000000"/>
          <w:sz w:val="24"/>
          <w:szCs w:val="24"/>
        </w:rPr>
        <w:t>1-adrenoceptors on vascular smooth muscle, both</w:t>
      </w:r>
    </w:p>
    <w:p w:rsidR="00863D36" w:rsidRPr="00863D36" w:rsidRDefault="00863D36" w:rsidP="00362181">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roofErr w:type="gramStart"/>
      <w:r w:rsidRPr="00863D36">
        <w:rPr>
          <w:rFonts w:ascii="Baskerville Old Face" w:eastAsia="LiberationSerif" w:hAnsi="Baskerville Old Face" w:cs="LiberationSerif"/>
          <w:color w:val="000000"/>
          <w:sz w:val="24"/>
          <w:szCs w:val="24"/>
        </w:rPr>
        <w:t>norepinephrine</w:t>
      </w:r>
      <w:proofErr w:type="gramEnd"/>
      <w:r w:rsidRPr="00863D36">
        <w:rPr>
          <w:rFonts w:ascii="Baskerville Old Face" w:eastAsia="LiberationSerif" w:hAnsi="Baskerville Old Face" w:cs="LiberationSerif"/>
          <w:color w:val="000000"/>
          <w:sz w:val="24"/>
          <w:szCs w:val="24"/>
        </w:rPr>
        <w:t xml:space="preserve"> and </w:t>
      </w:r>
      <w:r w:rsidRPr="00863D36">
        <w:rPr>
          <w:rFonts w:ascii="Baskerville Old Face" w:hAnsi="Baskerville Old Face" w:cs="LiberationSerif-Italic"/>
          <w:i/>
          <w:iCs/>
          <w:color w:val="000000"/>
          <w:sz w:val="24"/>
          <w:szCs w:val="24"/>
        </w:rPr>
        <w:t xml:space="preserve">phenylephrine </w:t>
      </w:r>
      <w:r w:rsidRPr="00863D36">
        <w:rPr>
          <w:rFonts w:ascii="Baskerville Old Face" w:eastAsia="LiberationSerif" w:hAnsi="Baskerville Old Face" w:cs="LiberationSerif"/>
          <w:color w:val="000000"/>
          <w:sz w:val="24"/>
          <w:szCs w:val="24"/>
        </w:rPr>
        <w:t xml:space="preserve">stabilize the receptor in its active state, thereby increasing </w:t>
      </w:r>
      <w:proofErr w:type="spellStart"/>
      <w:r w:rsidRPr="00863D36">
        <w:rPr>
          <w:rFonts w:ascii="Baskerville Old Face" w:eastAsia="LiberationSerif" w:hAnsi="Baskerville Old Face" w:cs="LiberationSerif"/>
          <w:color w:val="000000"/>
          <w:sz w:val="24"/>
          <w:szCs w:val="24"/>
        </w:rPr>
        <w:t>Gq</w:t>
      </w:r>
      <w:proofErr w:type="spellEnd"/>
      <w:r w:rsidRPr="00863D36">
        <w:rPr>
          <w:rFonts w:ascii="Baskerville Old Face" w:eastAsia="LiberationSerif" w:hAnsi="Baskerville Old Face" w:cs="LiberationSerif"/>
          <w:color w:val="000000"/>
          <w:sz w:val="24"/>
          <w:szCs w:val="24"/>
        </w:rPr>
        <w:t xml:space="preserve"> activation.</w:t>
      </w:r>
    </w:p>
    <w:p w:rsidR="00863D36" w:rsidRDefault="00863D36" w:rsidP="00362181">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863D36">
        <w:rPr>
          <w:rFonts w:ascii="Baskerville Old Face" w:eastAsia="LiberationSerif" w:hAnsi="Baskerville Old Face" w:cs="LiberationSerif"/>
          <w:color w:val="000000"/>
          <w:sz w:val="24"/>
          <w:szCs w:val="24"/>
        </w:rPr>
        <w:t xml:space="preserve">Activation of </w:t>
      </w:r>
      <w:proofErr w:type="spellStart"/>
      <w:proofErr w:type="gramStart"/>
      <w:r w:rsidRPr="00863D36">
        <w:rPr>
          <w:rFonts w:ascii="Baskerville Old Face" w:eastAsia="LiberationSerif" w:hAnsi="Baskerville Old Face" w:cs="LiberationSerif"/>
          <w:color w:val="000000"/>
          <w:sz w:val="24"/>
          <w:szCs w:val="24"/>
        </w:rPr>
        <w:t>Gq</w:t>
      </w:r>
      <w:proofErr w:type="spellEnd"/>
      <w:proofErr w:type="gramEnd"/>
      <w:r w:rsidRPr="00863D36">
        <w:rPr>
          <w:rFonts w:ascii="Baskerville Old Face" w:eastAsia="LiberationSerif" w:hAnsi="Baskerville Old Face" w:cs="LiberationSerif"/>
          <w:color w:val="000000"/>
          <w:sz w:val="24"/>
          <w:szCs w:val="24"/>
        </w:rPr>
        <w:t xml:space="preserve"> increases intracellular Ca2+, causing interaction of actin and myosin filaments and shortening of the muscle cells. The diameter of the arteriole decreases, causing an increase in resistance to blood flow through the vessel and an increase in blood pressure. Thus, effects of agonists on intracellular molecules, cells, tissues, and intact organisms are all attributable to interaction of the drug with the receptor. For full agonists, the dose–response curves for receptor binding and each of the biological responses should be comparable.</w:t>
      </w:r>
    </w:p>
    <w:p w:rsidR="00863D36" w:rsidRDefault="00863D36" w:rsidP="00863D36">
      <w:pPr>
        <w:autoSpaceDE w:val="0"/>
        <w:autoSpaceDN w:val="0"/>
        <w:adjustRightInd w:val="0"/>
        <w:spacing w:after="0" w:line="276" w:lineRule="auto"/>
        <w:jc w:val="both"/>
        <w:rPr>
          <w:rFonts w:ascii="Baskerville Old Face" w:hAnsi="Baskerville Old Face"/>
          <w:b/>
          <w:spacing w:val="2"/>
          <w:sz w:val="24"/>
          <w:szCs w:val="24"/>
        </w:rPr>
      </w:pPr>
      <w:r w:rsidRPr="00863D36">
        <w:rPr>
          <w:rFonts w:ascii="Baskerville Old Face" w:hAnsi="Baskerville Old Face"/>
          <w:b/>
          <w:noProof/>
          <w:spacing w:val="2"/>
          <w:sz w:val="24"/>
          <w:szCs w:val="24"/>
        </w:rPr>
        <w:lastRenderedPageBreak/>
        <w:drawing>
          <wp:inline distT="0" distB="0" distL="0" distR="0">
            <wp:extent cx="4000259" cy="7561221"/>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4602" cy="7569431"/>
                    </a:xfrm>
                    <a:prstGeom prst="rect">
                      <a:avLst/>
                    </a:prstGeom>
                    <a:noFill/>
                    <a:ln>
                      <a:noFill/>
                    </a:ln>
                  </pic:spPr>
                </pic:pic>
              </a:graphicData>
            </a:graphic>
          </wp:inline>
        </w:drawing>
      </w:r>
    </w:p>
    <w:p w:rsidR="00863D36" w:rsidRDefault="00863D36" w:rsidP="00863D36">
      <w:pPr>
        <w:autoSpaceDE w:val="0"/>
        <w:autoSpaceDN w:val="0"/>
        <w:adjustRightInd w:val="0"/>
        <w:spacing w:after="0" w:line="240" w:lineRule="auto"/>
        <w:rPr>
          <w:rFonts w:ascii="Baskerville Old Face" w:eastAsia="LiberationSerif" w:hAnsi="Baskerville Old Face" w:cs="LiberationSerif"/>
          <w:b/>
          <w:sz w:val="20"/>
          <w:szCs w:val="26"/>
        </w:rPr>
      </w:pPr>
      <w:r w:rsidRPr="00863D36">
        <w:rPr>
          <w:rFonts w:ascii="Baskerville Old Face" w:hAnsi="Baskerville Old Face" w:cs="LiberationSerif-Bold"/>
          <w:b/>
          <w:bCs/>
          <w:sz w:val="20"/>
          <w:szCs w:val="26"/>
        </w:rPr>
        <w:t xml:space="preserve">Figure 4. </w:t>
      </w:r>
      <w:r w:rsidRPr="00863D36">
        <w:rPr>
          <w:rFonts w:ascii="Baskerville Old Face" w:eastAsia="LiberationSerif" w:hAnsi="Baskerville Old Face" w:cs="LiberationSerif"/>
          <w:b/>
          <w:sz w:val="20"/>
          <w:szCs w:val="26"/>
        </w:rPr>
        <w:t>Effects of full agonists, partial agonists, and inverse agonists on receptor activity.</w:t>
      </w:r>
    </w:p>
    <w:p w:rsidR="00863D36" w:rsidRDefault="00863D36"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863D36" w:rsidRDefault="00863D36"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863D36" w:rsidRDefault="00863D36"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B72E98" w:rsidRDefault="00B72E98"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261621" w:rsidRDefault="00261621"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261621" w:rsidRDefault="00261621" w:rsidP="00863D36">
      <w:pPr>
        <w:autoSpaceDE w:val="0"/>
        <w:autoSpaceDN w:val="0"/>
        <w:adjustRightInd w:val="0"/>
        <w:spacing w:after="0" w:line="240" w:lineRule="auto"/>
        <w:rPr>
          <w:rFonts w:ascii="Baskerville Old Face" w:eastAsia="LiberationSerif" w:hAnsi="Baskerville Old Face" w:cs="LiberationSerif"/>
          <w:b/>
          <w:sz w:val="20"/>
          <w:szCs w:val="26"/>
        </w:rPr>
      </w:pPr>
    </w:p>
    <w:p w:rsidR="00863D36" w:rsidRPr="00B72E98" w:rsidRDefault="00863D36" w:rsidP="00863D36">
      <w:pPr>
        <w:autoSpaceDE w:val="0"/>
        <w:autoSpaceDN w:val="0"/>
        <w:adjustRightInd w:val="0"/>
        <w:spacing w:after="0" w:line="240" w:lineRule="auto"/>
        <w:rPr>
          <w:rFonts w:ascii="Baskerville Old Face" w:hAnsi="Baskerville Old Face" w:cs="LiberationSerif-Bold"/>
          <w:b/>
          <w:bCs/>
          <w:color w:val="000000"/>
          <w:sz w:val="24"/>
          <w:szCs w:val="24"/>
        </w:rPr>
      </w:pPr>
      <w:r w:rsidRPr="00B72E98">
        <w:rPr>
          <w:rFonts w:ascii="Baskerville Old Face" w:hAnsi="Baskerville Old Face" w:cs="LiberationSerif-Bold"/>
          <w:b/>
          <w:bCs/>
          <w:color w:val="000000"/>
          <w:sz w:val="24"/>
          <w:szCs w:val="24"/>
        </w:rPr>
        <w:lastRenderedPageBreak/>
        <w:t>Partial agonists</w:t>
      </w:r>
    </w:p>
    <w:p w:rsidR="00863D36" w:rsidRDefault="00863D36"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r w:rsidRPr="00B72E98">
        <w:rPr>
          <w:rFonts w:ascii="Baskerville Old Face" w:eastAsia="LiberationSerif" w:hAnsi="Baskerville Old Face" w:cs="LiberationSerif"/>
          <w:sz w:val="24"/>
          <w:szCs w:val="24"/>
        </w:rPr>
        <w:t>Partial agonists have intrinsic activities greater than zero but less than one (</w:t>
      </w:r>
      <w:r w:rsidR="00B72E98" w:rsidRPr="00B72E98">
        <w:rPr>
          <w:rFonts w:ascii="Baskerville Old Face" w:eastAsia="LiberationSerif" w:hAnsi="Baskerville Old Face" w:cs="LiberationSerif"/>
          <w:sz w:val="24"/>
          <w:szCs w:val="24"/>
        </w:rPr>
        <w:t>Figure 4</w:t>
      </w:r>
      <w:r w:rsidRPr="00B72E98">
        <w:rPr>
          <w:rFonts w:ascii="Baskerville Old Face" w:eastAsia="LiberationSerif" w:hAnsi="Baskerville Old Face" w:cs="LiberationSerif"/>
          <w:sz w:val="24"/>
          <w:szCs w:val="24"/>
        </w:rPr>
        <w:t>). Even when all the receptors</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are occupied, partial agonists cannot produce the same </w:t>
      </w:r>
      <w:proofErr w:type="spellStart"/>
      <w:r w:rsidRPr="00B72E98">
        <w:rPr>
          <w:rFonts w:ascii="Baskerville Old Face" w:eastAsia="LiberationSerif" w:hAnsi="Baskerville Old Face" w:cs="LiberationSerif"/>
          <w:sz w:val="24"/>
          <w:szCs w:val="24"/>
        </w:rPr>
        <w:t>Emax</w:t>
      </w:r>
      <w:proofErr w:type="spellEnd"/>
      <w:r w:rsidRPr="00B72E98">
        <w:rPr>
          <w:rFonts w:ascii="Baskerville Old Face" w:eastAsia="LiberationSerif" w:hAnsi="Baskerville Old Face" w:cs="LiberationSerif"/>
          <w:sz w:val="24"/>
          <w:szCs w:val="24"/>
        </w:rPr>
        <w:t xml:space="preserve"> as a full agonist. Even so, a partial agonist may have an</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affinity that is greater than, less than, or equivalent to that of a full agonist. A partial agonist may also act as a partial</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antagonist of a full agonist (</w:t>
      </w:r>
      <w:r w:rsidR="00B72E98" w:rsidRPr="00B72E98">
        <w:rPr>
          <w:rFonts w:ascii="Baskerville Old Face" w:eastAsia="LiberationSerif" w:hAnsi="Baskerville Old Face" w:cs="LiberationSerif"/>
          <w:sz w:val="24"/>
          <w:szCs w:val="24"/>
        </w:rPr>
        <w:t>Figure 5</w:t>
      </w:r>
      <w:r w:rsidRPr="00B72E98">
        <w:rPr>
          <w:rFonts w:ascii="Baskerville Old Face" w:eastAsia="LiberationSerif" w:hAnsi="Baskerville Old Face" w:cs="LiberationSerif"/>
          <w:sz w:val="24"/>
          <w:szCs w:val="24"/>
        </w:rPr>
        <w:t>). As the number of receptors occupied by the partial agonist increases, the</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number of receptors that can be occupied by the full agonist decreases and therefore </w:t>
      </w:r>
      <w:proofErr w:type="spellStart"/>
      <w:r w:rsidRPr="00B72E98">
        <w:rPr>
          <w:rFonts w:ascii="Baskerville Old Face" w:eastAsia="LiberationSerif" w:hAnsi="Baskerville Old Face" w:cs="LiberationSerif"/>
          <w:sz w:val="24"/>
          <w:szCs w:val="24"/>
        </w:rPr>
        <w:t>Emax</w:t>
      </w:r>
      <w:proofErr w:type="spellEnd"/>
      <w:r w:rsidRPr="00B72E98">
        <w:rPr>
          <w:rFonts w:ascii="Baskerville Old Face" w:eastAsia="LiberationSerif" w:hAnsi="Baskerville Old Face" w:cs="LiberationSerif"/>
          <w:sz w:val="24"/>
          <w:szCs w:val="24"/>
        </w:rPr>
        <w:t xml:space="preserve"> would decrease until it</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reached the </w:t>
      </w:r>
      <w:proofErr w:type="spellStart"/>
      <w:r w:rsidRPr="00B72E98">
        <w:rPr>
          <w:rFonts w:ascii="Baskerville Old Face" w:eastAsia="LiberationSerif" w:hAnsi="Baskerville Old Face" w:cs="LiberationSerif"/>
          <w:sz w:val="24"/>
          <w:szCs w:val="24"/>
        </w:rPr>
        <w:t>Emax</w:t>
      </w:r>
      <w:proofErr w:type="spellEnd"/>
      <w:r w:rsidRPr="00B72E98">
        <w:rPr>
          <w:rFonts w:ascii="Baskerville Old Face" w:eastAsia="LiberationSerif" w:hAnsi="Baskerville Old Face" w:cs="LiberationSerif"/>
          <w:sz w:val="24"/>
          <w:szCs w:val="24"/>
        </w:rPr>
        <w:t xml:space="preserve"> of the partial agonist. This potential of partial agonists to act as both an agonist and antagonist may</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have therapeutic utility. For example, </w:t>
      </w:r>
      <w:proofErr w:type="spellStart"/>
      <w:r w:rsidRPr="00B72E98">
        <w:rPr>
          <w:rFonts w:ascii="Baskerville Old Face" w:hAnsi="Baskerville Old Face" w:cs="LiberationSerif-Italic"/>
          <w:i/>
          <w:iCs/>
          <w:sz w:val="24"/>
          <w:szCs w:val="24"/>
        </w:rPr>
        <w:t>aripiprazole</w:t>
      </w:r>
      <w:proofErr w:type="spellEnd"/>
      <w:r w:rsidRPr="00B72E98">
        <w:rPr>
          <w:rFonts w:ascii="Baskerville Old Face" w:eastAsia="LiberationSerif" w:hAnsi="Baskerville Old Face" w:cs="LiberationSerif"/>
          <w:sz w:val="24"/>
          <w:szCs w:val="24"/>
        </w:rPr>
        <w:t>, an atypical antipsychotic, is a partial agonist at selected</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dopamine receptors. Overactive dopaminergic pathways tend to be inhibited by </w:t>
      </w:r>
      <w:proofErr w:type="spellStart"/>
      <w:r w:rsidRPr="00B72E98">
        <w:rPr>
          <w:rFonts w:ascii="Baskerville Old Face" w:hAnsi="Baskerville Old Face" w:cs="LiberationSerif-Italic"/>
          <w:i/>
          <w:iCs/>
          <w:sz w:val="24"/>
          <w:szCs w:val="24"/>
        </w:rPr>
        <w:t>aripiprazole</w:t>
      </w:r>
      <w:proofErr w:type="spellEnd"/>
      <w:r w:rsidRPr="00B72E98">
        <w:rPr>
          <w:rFonts w:ascii="Baskerville Old Face" w:eastAsia="LiberationSerif" w:hAnsi="Baskerville Old Face" w:cs="LiberationSerif"/>
          <w:sz w:val="24"/>
          <w:szCs w:val="24"/>
        </w:rPr>
        <w:t>, whereas underactive</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 xml:space="preserve">pathways are stimulated. This might explain the ability of </w:t>
      </w:r>
      <w:proofErr w:type="spellStart"/>
      <w:r w:rsidRPr="00B72E98">
        <w:rPr>
          <w:rFonts w:ascii="Baskerville Old Face" w:hAnsi="Baskerville Old Face" w:cs="LiberationSerif-Italic"/>
          <w:i/>
          <w:iCs/>
          <w:sz w:val="24"/>
          <w:szCs w:val="24"/>
        </w:rPr>
        <w:t>aripiprazole</w:t>
      </w:r>
      <w:proofErr w:type="spellEnd"/>
      <w:r w:rsidRPr="00B72E98">
        <w:rPr>
          <w:rFonts w:ascii="Baskerville Old Face" w:hAnsi="Baskerville Old Face" w:cs="LiberationSerif-Italic"/>
          <w:i/>
          <w:iCs/>
          <w:sz w:val="24"/>
          <w:szCs w:val="24"/>
        </w:rPr>
        <w:t xml:space="preserve"> </w:t>
      </w:r>
      <w:r w:rsidRPr="00B72E98">
        <w:rPr>
          <w:rFonts w:ascii="Baskerville Old Face" w:eastAsia="LiberationSerif" w:hAnsi="Baskerville Old Face" w:cs="LiberationSerif"/>
          <w:sz w:val="24"/>
          <w:szCs w:val="24"/>
        </w:rPr>
        <w:t>to improve symptoms of schizophrenia, with</w:t>
      </w:r>
      <w:r w:rsidR="00B72E98" w:rsidRPr="00B72E98">
        <w:rPr>
          <w:rFonts w:ascii="Baskerville Old Face" w:eastAsia="LiberationSerif" w:hAnsi="Baskerville Old Face" w:cs="LiberationSerif"/>
          <w:sz w:val="24"/>
          <w:szCs w:val="24"/>
        </w:rPr>
        <w:t xml:space="preserve"> </w:t>
      </w:r>
      <w:r w:rsidRPr="00B72E98">
        <w:rPr>
          <w:rFonts w:ascii="Baskerville Old Face" w:eastAsia="LiberationSerif" w:hAnsi="Baskerville Old Face" w:cs="LiberationSerif"/>
          <w:sz w:val="24"/>
          <w:szCs w:val="24"/>
        </w:rPr>
        <w:t>a small risk of causing extrapyramidal adverse effects</w:t>
      </w:r>
      <w:r w:rsidR="00B72E98" w:rsidRPr="00B72E98">
        <w:rPr>
          <w:rFonts w:ascii="Baskerville Old Face" w:eastAsia="LiberationSerif" w:hAnsi="Baskerville Old Face" w:cs="LiberationSerif"/>
          <w:sz w:val="24"/>
          <w:szCs w:val="24"/>
        </w:rPr>
        <w:t>.</w:t>
      </w:r>
    </w:p>
    <w:p w:rsidR="00B72E98" w:rsidRPr="00B72E98" w:rsidRDefault="00B72E98" w:rsidP="00B72E98">
      <w:pPr>
        <w:autoSpaceDE w:val="0"/>
        <w:autoSpaceDN w:val="0"/>
        <w:adjustRightInd w:val="0"/>
        <w:spacing w:after="0" w:line="276" w:lineRule="auto"/>
        <w:jc w:val="both"/>
        <w:rPr>
          <w:rFonts w:ascii="Baskerville Old Face" w:hAnsi="Baskerville Old Face" w:cs="LiberationSerif-Bold"/>
          <w:b/>
          <w:bCs/>
          <w:sz w:val="24"/>
          <w:szCs w:val="24"/>
        </w:rPr>
      </w:pPr>
      <w:r w:rsidRPr="00B72E98">
        <w:rPr>
          <w:rFonts w:ascii="Baskerville Old Face" w:hAnsi="Baskerville Old Face" w:cs="LiberationSerif-Bold"/>
          <w:b/>
          <w:bCs/>
          <w:sz w:val="24"/>
          <w:szCs w:val="24"/>
        </w:rPr>
        <w:t>Inverse agonists</w:t>
      </w:r>
    </w:p>
    <w:p w:rsidR="00B72E98" w:rsidRPr="00B72E98" w:rsidRDefault="00B72E98"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r w:rsidRPr="00B72E98">
        <w:rPr>
          <w:rFonts w:ascii="Baskerville Old Face" w:eastAsia="LiberationSerif" w:hAnsi="Baskerville Old Face" w:cs="LiberationSerif"/>
          <w:sz w:val="24"/>
          <w:szCs w:val="24"/>
        </w:rPr>
        <w:t>Typically, unbound receptors are inactive and require interaction with an agonist to assume an active conformation.</w:t>
      </w:r>
    </w:p>
    <w:p w:rsidR="00B72E98" w:rsidRPr="00B72E98" w:rsidRDefault="00B72E98"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r w:rsidRPr="00B72E98">
        <w:rPr>
          <w:rFonts w:ascii="Baskerville Old Face" w:eastAsia="LiberationSerif" w:hAnsi="Baskerville Old Face" w:cs="LiberationSerif"/>
          <w:sz w:val="24"/>
          <w:szCs w:val="24"/>
        </w:rPr>
        <w:t>However, some receptors show a spontaneous conversion from R to R* in the absence of an agonist. Inverse</w:t>
      </w:r>
    </w:p>
    <w:p w:rsidR="00B72E98" w:rsidRDefault="00B72E98"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proofErr w:type="gramStart"/>
      <w:r w:rsidRPr="00B72E98">
        <w:rPr>
          <w:rFonts w:ascii="Baskerville Old Face" w:eastAsia="LiberationSerif" w:hAnsi="Baskerville Old Face" w:cs="LiberationSerif"/>
          <w:sz w:val="24"/>
          <w:szCs w:val="24"/>
        </w:rPr>
        <w:t>agonists</w:t>
      </w:r>
      <w:proofErr w:type="gramEnd"/>
      <w:r w:rsidRPr="00B72E98">
        <w:rPr>
          <w:rFonts w:ascii="Baskerville Old Face" w:eastAsia="LiberationSerif" w:hAnsi="Baskerville Old Face" w:cs="LiberationSerif"/>
          <w:sz w:val="24"/>
          <w:szCs w:val="24"/>
        </w:rPr>
        <w:t>, unlike full agonists, stabilize the inactive R form and cause R* to convert to R. This decreases the number of activated receptors to below that observed in the absence of drug (Figure 4). Thus, inverse agonists have an intrinsic activity less than zero, reverse the activation state of receptors, and exert the opposite pharmacological effect of agonists.</w:t>
      </w:r>
    </w:p>
    <w:p w:rsidR="00B72E98" w:rsidRPr="00B72E98" w:rsidRDefault="00B72E98" w:rsidP="00B72E98">
      <w:pPr>
        <w:autoSpaceDE w:val="0"/>
        <w:autoSpaceDN w:val="0"/>
        <w:adjustRightInd w:val="0"/>
        <w:spacing w:after="0" w:line="276" w:lineRule="auto"/>
        <w:jc w:val="both"/>
        <w:rPr>
          <w:rFonts w:ascii="Baskerville Old Face" w:hAnsi="Baskerville Old Face" w:cs="LiberationSerif-Bold"/>
          <w:b/>
          <w:bCs/>
          <w:sz w:val="24"/>
          <w:szCs w:val="24"/>
        </w:rPr>
      </w:pPr>
      <w:r w:rsidRPr="00B72E98">
        <w:rPr>
          <w:rFonts w:ascii="Baskerville Old Face" w:hAnsi="Baskerville Old Face" w:cs="LiberationSerif-Bold"/>
          <w:b/>
          <w:bCs/>
          <w:sz w:val="24"/>
          <w:szCs w:val="24"/>
        </w:rPr>
        <w:t>Antagonists</w:t>
      </w:r>
    </w:p>
    <w:p w:rsidR="00B72E98" w:rsidRPr="00B72E98" w:rsidRDefault="00B72E98"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r w:rsidRPr="00B72E98">
        <w:rPr>
          <w:rFonts w:ascii="Baskerville Old Face" w:eastAsia="LiberationSerif" w:hAnsi="Baskerville Old Face" w:cs="LiberationSerif"/>
          <w:sz w:val="24"/>
          <w:szCs w:val="24"/>
        </w:rPr>
        <w:t>Antagonists bind to a receptor with high affinity but possess zero intrinsic activity. An antagonist has no effect on biological function in the absence of an agonist, but can decrease the effect of an agonist when present. Antagonism may occur either by blocking the drug’s ability to bind to the receptor or by blocking its ability to activate the receptor.</w:t>
      </w:r>
    </w:p>
    <w:p w:rsidR="00B72E98" w:rsidRPr="00B72E98" w:rsidRDefault="00B72E98" w:rsidP="00B72E98">
      <w:pPr>
        <w:autoSpaceDE w:val="0"/>
        <w:autoSpaceDN w:val="0"/>
        <w:adjustRightInd w:val="0"/>
        <w:spacing w:after="0" w:line="276" w:lineRule="auto"/>
        <w:jc w:val="both"/>
        <w:rPr>
          <w:rFonts w:ascii="Baskerville Old Face" w:hAnsi="Baskerville Old Face" w:cs="LiberationSerif-Bold"/>
          <w:b/>
          <w:bCs/>
          <w:sz w:val="24"/>
          <w:szCs w:val="24"/>
        </w:rPr>
      </w:pPr>
      <w:r w:rsidRPr="00B72E98">
        <w:rPr>
          <w:rFonts w:ascii="Baskerville Old Face" w:hAnsi="Baskerville Old Face" w:cs="LiberationSerif-Bold"/>
          <w:b/>
          <w:bCs/>
          <w:sz w:val="24"/>
          <w:szCs w:val="24"/>
        </w:rPr>
        <w:t>1. Competitive antagonists</w:t>
      </w:r>
    </w:p>
    <w:p w:rsidR="00B72E98" w:rsidRDefault="00B72E98" w:rsidP="00B72E98">
      <w:pPr>
        <w:autoSpaceDE w:val="0"/>
        <w:autoSpaceDN w:val="0"/>
        <w:adjustRightInd w:val="0"/>
        <w:spacing w:after="0" w:line="276" w:lineRule="auto"/>
        <w:jc w:val="both"/>
        <w:rPr>
          <w:rFonts w:ascii="Baskerville Old Face" w:eastAsia="LiberationSerif" w:hAnsi="Baskerville Old Face" w:cs="LiberationSerif"/>
          <w:sz w:val="24"/>
          <w:szCs w:val="24"/>
        </w:rPr>
      </w:pPr>
      <w:r w:rsidRPr="00B72E98">
        <w:rPr>
          <w:rFonts w:ascii="Baskerville Old Face" w:eastAsia="LiberationSerif" w:hAnsi="Baskerville Old Face" w:cs="LiberationSerif"/>
          <w:sz w:val="24"/>
          <w:szCs w:val="24"/>
        </w:rPr>
        <w:t xml:space="preserve">If the antagonist binds to the same site on the receptor as the agonist in a reversible manner, it is “competitive.” A competitive antagonist interferes with an agonist binding to its receptor and maintains the receptor in its inactive state. For example, the antihypertensive drug </w:t>
      </w:r>
      <w:r w:rsidRPr="00B72E98">
        <w:rPr>
          <w:rFonts w:ascii="Baskerville Old Face" w:hAnsi="Baskerville Old Face" w:cs="LiberationSerif-Italic"/>
          <w:i/>
          <w:iCs/>
          <w:sz w:val="24"/>
          <w:szCs w:val="24"/>
        </w:rPr>
        <w:t xml:space="preserve">terazosin </w:t>
      </w:r>
      <w:r w:rsidRPr="00B72E98">
        <w:rPr>
          <w:rFonts w:ascii="Baskerville Old Face" w:eastAsia="LiberationSerif" w:hAnsi="Baskerville Old Face" w:cs="LiberationSerif"/>
          <w:sz w:val="24"/>
          <w:szCs w:val="24"/>
        </w:rPr>
        <w:t xml:space="preserve">competes with the endogenous ligand norepinephrine at </w:t>
      </w:r>
      <w:r w:rsidRPr="00B72E98">
        <w:rPr>
          <w:rFonts w:ascii="Cambria" w:eastAsia="LiberationSerif" w:hAnsi="Cambria" w:cs="Cambria"/>
          <w:sz w:val="24"/>
          <w:szCs w:val="24"/>
        </w:rPr>
        <w:t>α</w:t>
      </w:r>
      <w:r w:rsidRPr="00B72E98">
        <w:rPr>
          <w:rFonts w:ascii="Baskerville Old Face" w:eastAsia="LiberationSerif" w:hAnsi="Baskerville Old Face" w:cs="LiberationSerif"/>
          <w:sz w:val="24"/>
          <w:szCs w:val="24"/>
        </w:rPr>
        <w:t xml:space="preserve">1- </w:t>
      </w:r>
      <w:proofErr w:type="spellStart"/>
      <w:r w:rsidRPr="00B72E98">
        <w:rPr>
          <w:rFonts w:ascii="Baskerville Old Face" w:eastAsia="LiberationSerif" w:hAnsi="Baskerville Old Face" w:cs="LiberationSerif"/>
          <w:sz w:val="24"/>
          <w:szCs w:val="24"/>
        </w:rPr>
        <w:t>adrenoceptors</w:t>
      </w:r>
      <w:proofErr w:type="spellEnd"/>
      <w:r w:rsidRPr="00B72E98">
        <w:rPr>
          <w:rFonts w:ascii="Baskerville Old Face" w:eastAsia="LiberationSerif" w:hAnsi="Baskerville Old Face" w:cs="LiberationSerif"/>
          <w:sz w:val="24"/>
          <w:szCs w:val="24"/>
        </w:rPr>
        <w:t xml:space="preserve">, thus decreasing vascular smooth muscle tone and reducing blood pressure. However, increasing the concentration of agonist relative to antagonist can overcome this inhibition. Thus, competitive antagonists characteristically shift the agonist dose–response curve to the right (increased EC50) without affecting </w:t>
      </w:r>
      <w:proofErr w:type="spellStart"/>
      <w:r w:rsidRPr="00B72E98">
        <w:rPr>
          <w:rFonts w:ascii="Baskerville Old Face" w:eastAsia="LiberationSerif" w:hAnsi="Baskerville Old Face" w:cs="LiberationSerif"/>
          <w:sz w:val="24"/>
          <w:szCs w:val="24"/>
        </w:rPr>
        <w:t>Emax</w:t>
      </w:r>
      <w:proofErr w:type="spellEnd"/>
      <w:r w:rsidRPr="00B72E98">
        <w:rPr>
          <w:rFonts w:ascii="Baskerville Old Face" w:eastAsia="LiberationSerif" w:hAnsi="Baskerville Old Face" w:cs="LiberationSerif"/>
          <w:sz w:val="24"/>
          <w:szCs w:val="24"/>
        </w:rPr>
        <w:t>.</w:t>
      </w:r>
    </w:p>
    <w:p w:rsidR="00B72E98" w:rsidRDefault="008142D2" w:rsidP="00B72E98">
      <w:pPr>
        <w:autoSpaceDE w:val="0"/>
        <w:autoSpaceDN w:val="0"/>
        <w:adjustRightInd w:val="0"/>
        <w:spacing w:after="0" w:line="276" w:lineRule="auto"/>
        <w:jc w:val="both"/>
        <w:rPr>
          <w:rFonts w:ascii="Baskerville Old Face" w:hAnsi="Baskerville Old Face"/>
          <w:b/>
          <w:spacing w:val="2"/>
          <w:sz w:val="24"/>
          <w:szCs w:val="24"/>
        </w:rPr>
      </w:pPr>
      <w:r w:rsidRPr="008142D2">
        <w:rPr>
          <w:rFonts w:ascii="Baskerville Old Face" w:hAnsi="Baskerville Old Face"/>
          <w:b/>
          <w:noProof/>
          <w:spacing w:val="2"/>
          <w:sz w:val="24"/>
          <w:szCs w:val="24"/>
        </w:rPr>
        <w:lastRenderedPageBreak/>
        <w:drawing>
          <wp:inline distT="0" distB="0" distL="0" distR="0">
            <wp:extent cx="3833849" cy="453224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865" cy="4538173"/>
                    </a:xfrm>
                    <a:prstGeom prst="rect">
                      <a:avLst/>
                    </a:prstGeom>
                    <a:noFill/>
                    <a:ln>
                      <a:noFill/>
                    </a:ln>
                  </pic:spPr>
                </pic:pic>
              </a:graphicData>
            </a:graphic>
          </wp:inline>
        </w:drawing>
      </w:r>
    </w:p>
    <w:p w:rsidR="008142D2" w:rsidRDefault="008142D2" w:rsidP="008142D2">
      <w:pPr>
        <w:autoSpaceDE w:val="0"/>
        <w:autoSpaceDN w:val="0"/>
        <w:adjustRightInd w:val="0"/>
        <w:spacing w:after="0" w:line="240" w:lineRule="auto"/>
        <w:rPr>
          <w:rFonts w:ascii="Baskerville Old Face" w:eastAsia="LiberationSerif" w:hAnsi="Baskerville Old Face" w:cs="LiberationSerif"/>
          <w:b/>
          <w:sz w:val="20"/>
          <w:szCs w:val="20"/>
        </w:rPr>
      </w:pPr>
      <w:r w:rsidRPr="008142D2">
        <w:rPr>
          <w:rFonts w:ascii="Baskerville Old Face" w:hAnsi="Baskerville Old Face" w:cs="LiberationSerif-Bold"/>
          <w:b/>
          <w:bCs/>
          <w:sz w:val="20"/>
          <w:szCs w:val="20"/>
        </w:rPr>
        <w:t xml:space="preserve">Figure 5. </w:t>
      </w:r>
      <w:r w:rsidRPr="008142D2">
        <w:rPr>
          <w:rFonts w:ascii="Baskerville Old Face" w:eastAsia="LiberationSerif" w:hAnsi="Baskerville Old Face" w:cs="LiberationSerif"/>
          <w:b/>
          <w:sz w:val="20"/>
          <w:szCs w:val="20"/>
        </w:rPr>
        <w:t>Effects of drug antagonists. EC50 = drug dose that shows 50% of maximal</w:t>
      </w:r>
      <w:r>
        <w:rPr>
          <w:rFonts w:ascii="Baskerville Old Face" w:eastAsia="LiberationSerif" w:hAnsi="Baskerville Old Face" w:cs="LiberationSerif"/>
          <w:b/>
          <w:sz w:val="20"/>
          <w:szCs w:val="20"/>
        </w:rPr>
        <w:t xml:space="preserve"> </w:t>
      </w:r>
      <w:r w:rsidRPr="008142D2">
        <w:rPr>
          <w:rFonts w:ascii="Baskerville Old Face" w:eastAsia="LiberationSerif" w:hAnsi="Baskerville Old Face" w:cs="LiberationSerif"/>
          <w:b/>
          <w:sz w:val="20"/>
          <w:szCs w:val="20"/>
        </w:rPr>
        <w:t>response.</w:t>
      </w:r>
    </w:p>
    <w:p w:rsidR="008142D2" w:rsidRDefault="008142D2" w:rsidP="008142D2">
      <w:pPr>
        <w:autoSpaceDE w:val="0"/>
        <w:autoSpaceDN w:val="0"/>
        <w:adjustRightInd w:val="0"/>
        <w:spacing w:after="0" w:line="276" w:lineRule="auto"/>
        <w:jc w:val="both"/>
        <w:rPr>
          <w:rFonts w:ascii="Baskerville Old Face" w:hAnsi="Baskerville Old Face" w:cs="LiberationSerif-Bold"/>
          <w:b/>
          <w:bCs/>
          <w:sz w:val="24"/>
          <w:szCs w:val="24"/>
        </w:rPr>
      </w:pPr>
    </w:p>
    <w:p w:rsidR="008142D2" w:rsidRPr="008142D2" w:rsidRDefault="008142D2" w:rsidP="008142D2">
      <w:pPr>
        <w:autoSpaceDE w:val="0"/>
        <w:autoSpaceDN w:val="0"/>
        <w:adjustRightInd w:val="0"/>
        <w:spacing w:after="0" w:line="276" w:lineRule="auto"/>
        <w:jc w:val="both"/>
        <w:rPr>
          <w:rFonts w:ascii="Baskerville Old Face" w:hAnsi="Baskerville Old Face" w:cs="LiberationSerif-Bold"/>
          <w:b/>
          <w:bCs/>
          <w:sz w:val="24"/>
          <w:szCs w:val="24"/>
        </w:rPr>
      </w:pPr>
      <w:r w:rsidRPr="008142D2">
        <w:rPr>
          <w:rFonts w:ascii="Baskerville Old Face" w:hAnsi="Baskerville Old Face" w:cs="LiberationSerif-Bold"/>
          <w:b/>
          <w:bCs/>
          <w:sz w:val="24"/>
          <w:szCs w:val="24"/>
        </w:rPr>
        <w:t>Irreversible antagonists</w:t>
      </w: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 xml:space="preserve">Irreversible antagonists bind covalently to the active site of the receptor, thereby permanently reducing the number of receptors available to the agonist. An irreversible antagonist causes a downward shift of the </w:t>
      </w:r>
      <w:proofErr w:type="spellStart"/>
      <w:r w:rsidRPr="008142D2">
        <w:rPr>
          <w:rFonts w:ascii="Baskerville Old Face" w:eastAsia="LiberationSerif" w:hAnsi="Baskerville Old Face" w:cs="LiberationSerif"/>
          <w:sz w:val="24"/>
          <w:szCs w:val="24"/>
        </w:rPr>
        <w:t>Emax</w:t>
      </w:r>
      <w:proofErr w:type="spellEnd"/>
      <w:r w:rsidRPr="008142D2">
        <w:rPr>
          <w:rFonts w:ascii="Baskerville Old Face" w:eastAsia="LiberationSerif" w:hAnsi="Baskerville Old Face" w:cs="LiberationSerif"/>
          <w:sz w:val="24"/>
          <w:szCs w:val="24"/>
        </w:rPr>
        <w:t xml:space="preserve">, with no shift of EC50 values (Figure 5). In contrast to competitive antagonists, addition of more agonist does not overcome the effect of irreversible antagonists. Thus, irreversible antagonists and allosteric antagonists (see below) are both considered noncompetitive antagonists. A fundamental difference between competitive and noncompetitive antagonists is that competitive antagonists reduce agonist potency (increase EC50) and noncompetitive antagonists reduce agonist efficacy (decrease </w:t>
      </w:r>
      <w:proofErr w:type="spellStart"/>
      <w:r w:rsidRPr="008142D2">
        <w:rPr>
          <w:rFonts w:ascii="Baskerville Old Face" w:eastAsia="LiberationSerif" w:hAnsi="Baskerville Old Face" w:cs="LiberationSerif"/>
          <w:sz w:val="24"/>
          <w:szCs w:val="24"/>
        </w:rPr>
        <w:t>Emax</w:t>
      </w:r>
      <w:proofErr w:type="spellEnd"/>
      <w:r w:rsidRPr="008142D2">
        <w:rPr>
          <w:rFonts w:ascii="Baskerville Old Face" w:eastAsia="LiberationSerif" w:hAnsi="Baskerville Old Face" w:cs="LiberationSerif"/>
          <w:sz w:val="24"/>
          <w:szCs w:val="24"/>
        </w:rPr>
        <w:t>).</w:t>
      </w:r>
    </w:p>
    <w:p w:rsidR="008142D2" w:rsidRPr="008142D2" w:rsidRDefault="008142D2" w:rsidP="008142D2">
      <w:pPr>
        <w:autoSpaceDE w:val="0"/>
        <w:autoSpaceDN w:val="0"/>
        <w:adjustRightInd w:val="0"/>
        <w:spacing w:after="0" w:line="276" w:lineRule="auto"/>
        <w:jc w:val="both"/>
        <w:rPr>
          <w:rFonts w:ascii="Baskerville Old Face" w:hAnsi="Baskerville Old Face" w:cs="LiberationSerif-Bold"/>
          <w:b/>
          <w:bCs/>
          <w:sz w:val="24"/>
          <w:szCs w:val="24"/>
        </w:rPr>
      </w:pPr>
      <w:r w:rsidRPr="008142D2">
        <w:rPr>
          <w:rFonts w:ascii="Baskerville Old Face" w:hAnsi="Baskerville Old Face" w:cs="LiberationSerif-Bold"/>
          <w:b/>
          <w:bCs/>
          <w:sz w:val="24"/>
          <w:szCs w:val="24"/>
        </w:rPr>
        <w:t xml:space="preserve"> Allosteric antagonists</w:t>
      </w: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 xml:space="preserve">An allosteric antagonist binds to a site (allosteric site) other than the agonist-binding site and prevents receptor activation by the agonist. This type of antagonist also causes a downward shift of the </w:t>
      </w:r>
      <w:proofErr w:type="spellStart"/>
      <w:r w:rsidRPr="008142D2">
        <w:rPr>
          <w:rFonts w:ascii="Baskerville Old Face" w:eastAsia="LiberationSerif" w:hAnsi="Baskerville Old Face" w:cs="LiberationSerif"/>
          <w:sz w:val="24"/>
          <w:szCs w:val="24"/>
        </w:rPr>
        <w:t>Emax</w:t>
      </w:r>
      <w:proofErr w:type="spellEnd"/>
      <w:r w:rsidRPr="008142D2">
        <w:rPr>
          <w:rFonts w:ascii="Baskerville Old Face" w:eastAsia="LiberationSerif" w:hAnsi="Baskerville Old Face" w:cs="LiberationSerif"/>
          <w:sz w:val="24"/>
          <w:szCs w:val="24"/>
        </w:rPr>
        <w:t xml:space="preserve"> of an agonist, with no</w:t>
      </w:r>
      <w:r>
        <w:rPr>
          <w:rFonts w:ascii="Baskerville Old Face" w:eastAsia="LiberationSerif" w:hAnsi="Baskerville Old Face" w:cs="LiberationSerif"/>
          <w:sz w:val="24"/>
          <w:szCs w:val="24"/>
        </w:rPr>
        <w:t xml:space="preserve"> </w:t>
      </w:r>
      <w:r w:rsidRPr="008142D2">
        <w:rPr>
          <w:rFonts w:ascii="Baskerville Old Face" w:eastAsia="LiberationSerif" w:hAnsi="Baskerville Old Face" w:cs="LiberationSerif"/>
          <w:sz w:val="24"/>
          <w:szCs w:val="24"/>
        </w:rPr>
        <w:t xml:space="preserve">change in the EC50 value. An example of an allosteric agonist is </w:t>
      </w:r>
      <w:proofErr w:type="spellStart"/>
      <w:r w:rsidRPr="008142D2">
        <w:rPr>
          <w:rFonts w:ascii="Baskerville Old Face" w:eastAsia="LiberationSerif" w:hAnsi="Baskerville Old Face" w:cs="LiberationSerif"/>
          <w:sz w:val="24"/>
          <w:szCs w:val="24"/>
        </w:rPr>
        <w:t>picrotoxin</w:t>
      </w:r>
      <w:proofErr w:type="spellEnd"/>
      <w:r w:rsidRPr="008142D2">
        <w:rPr>
          <w:rFonts w:ascii="Baskerville Old Face" w:eastAsia="LiberationSerif" w:hAnsi="Baskerville Old Face" w:cs="LiberationSerif"/>
          <w:sz w:val="24"/>
          <w:szCs w:val="24"/>
        </w:rPr>
        <w:t xml:space="preserve">, which binds to the inside of the GABA-controlled chloride channel. When </w:t>
      </w:r>
      <w:proofErr w:type="spellStart"/>
      <w:r w:rsidRPr="008142D2">
        <w:rPr>
          <w:rFonts w:ascii="Baskerville Old Face" w:eastAsia="LiberationSerif" w:hAnsi="Baskerville Old Face" w:cs="LiberationSerif"/>
          <w:sz w:val="24"/>
          <w:szCs w:val="24"/>
        </w:rPr>
        <w:t>picrotoxin</w:t>
      </w:r>
      <w:proofErr w:type="spellEnd"/>
      <w:r w:rsidRPr="008142D2">
        <w:rPr>
          <w:rFonts w:ascii="Baskerville Old Face" w:eastAsia="LiberationSerif" w:hAnsi="Baskerville Old Face" w:cs="LiberationSerif"/>
          <w:sz w:val="24"/>
          <w:szCs w:val="24"/>
        </w:rPr>
        <w:t xml:space="preserve"> binds inside the channel, no chloride can pass through the channel, even when GABA fully occupies the receptor.</w:t>
      </w:r>
    </w:p>
    <w:p w:rsidR="008142D2" w:rsidRDefault="008142D2" w:rsidP="008142D2">
      <w:pPr>
        <w:autoSpaceDE w:val="0"/>
        <w:autoSpaceDN w:val="0"/>
        <w:adjustRightInd w:val="0"/>
        <w:spacing w:after="0" w:line="276" w:lineRule="auto"/>
        <w:jc w:val="both"/>
        <w:rPr>
          <w:rFonts w:ascii="Baskerville Old Face" w:eastAsia="LiberationSerif" w:hAnsi="Baskerville Old Face" w:cs="LiberationSerif-Bold"/>
          <w:b/>
          <w:bCs/>
          <w:sz w:val="24"/>
          <w:szCs w:val="24"/>
        </w:rPr>
      </w:pP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Bold"/>
          <w:b/>
          <w:bCs/>
          <w:sz w:val="24"/>
          <w:szCs w:val="24"/>
        </w:rPr>
      </w:pPr>
      <w:r w:rsidRPr="008142D2">
        <w:rPr>
          <w:rFonts w:ascii="Baskerville Old Face" w:eastAsia="LiberationSerif" w:hAnsi="Baskerville Old Face" w:cs="LiberationSerif-Bold"/>
          <w:b/>
          <w:bCs/>
          <w:sz w:val="24"/>
          <w:szCs w:val="24"/>
        </w:rPr>
        <w:t xml:space="preserve"> Functional antagonism</w:t>
      </w:r>
    </w:p>
    <w:p w:rsidR="008142D2" w:rsidRPr="008142D2" w:rsidRDefault="00136875" w:rsidP="00136875">
      <w:pPr>
        <w:autoSpaceDE w:val="0"/>
        <w:autoSpaceDN w:val="0"/>
        <w:adjustRightInd w:val="0"/>
        <w:spacing w:after="0" w:line="240" w:lineRule="auto"/>
        <w:rPr>
          <w:rFonts w:ascii="Baskerville Old Face" w:eastAsia="LiberationSerif" w:hAnsi="Baskerville Old Face" w:cs="LiberationSerif"/>
          <w:sz w:val="24"/>
          <w:szCs w:val="24"/>
        </w:rPr>
      </w:pPr>
      <w:r w:rsidRPr="00136875">
        <w:rPr>
          <w:rFonts w:ascii="Baskerville Old Face" w:hAnsi="Baskerville Old Face" w:cs="TimesTen-Italic"/>
          <w:i/>
          <w:iCs/>
          <w:sz w:val="24"/>
          <w:szCs w:val="20"/>
        </w:rPr>
        <w:t xml:space="preserve">Functional antagonism </w:t>
      </w:r>
      <w:r w:rsidRPr="00136875">
        <w:rPr>
          <w:rFonts w:ascii="Baskerville Old Face" w:hAnsi="Baskerville Old Face" w:cs="TimesTen-Roman"/>
          <w:sz w:val="24"/>
          <w:szCs w:val="20"/>
        </w:rPr>
        <w:t>is a term used to represent the</w:t>
      </w:r>
      <w:r w:rsidRPr="00136875">
        <w:rPr>
          <w:rFonts w:ascii="Baskerville Old Face" w:hAnsi="Baskerville Old Face" w:cs="TimesTen-Roman"/>
          <w:sz w:val="24"/>
          <w:szCs w:val="20"/>
        </w:rPr>
        <w:t xml:space="preserve"> </w:t>
      </w:r>
      <w:r w:rsidRPr="00136875">
        <w:rPr>
          <w:rFonts w:ascii="Baskerville Old Face" w:hAnsi="Baskerville Old Face" w:cs="TimesTen-Roman"/>
          <w:sz w:val="24"/>
          <w:szCs w:val="20"/>
        </w:rPr>
        <w:t>interaction of two agonists that act independently of</w:t>
      </w:r>
      <w:r w:rsidRPr="00136875">
        <w:rPr>
          <w:rFonts w:ascii="Baskerville Old Face" w:hAnsi="Baskerville Old Face" w:cs="TimesTen-Roman"/>
          <w:sz w:val="24"/>
          <w:szCs w:val="20"/>
        </w:rPr>
        <w:t xml:space="preserve"> </w:t>
      </w:r>
      <w:r w:rsidRPr="00136875">
        <w:rPr>
          <w:rFonts w:ascii="Baskerville Old Face" w:hAnsi="Baskerville Old Face" w:cs="TimesTen-Roman"/>
          <w:sz w:val="24"/>
          <w:szCs w:val="20"/>
        </w:rPr>
        <w:t>each other but happen to cause opposite effects. Thus,</w:t>
      </w:r>
      <w:r w:rsidRPr="00136875">
        <w:rPr>
          <w:rFonts w:ascii="Baskerville Old Face" w:hAnsi="Baskerville Old Face" w:cs="TimesTen-Roman"/>
          <w:sz w:val="24"/>
          <w:szCs w:val="20"/>
        </w:rPr>
        <w:t xml:space="preserve"> </w:t>
      </w:r>
      <w:r w:rsidRPr="00136875">
        <w:rPr>
          <w:rFonts w:ascii="Baskerville Old Face" w:hAnsi="Baskerville Old Face" w:cs="TimesTen-Roman"/>
          <w:sz w:val="24"/>
          <w:szCs w:val="20"/>
        </w:rPr>
        <w:t>indirectly, each tends to cancel out or reduce the effect</w:t>
      </w:r>
      <w:r>
        <w:rPr>
          <w:rFonts w:ascii="Baskerville Old Face" w:hAnsi="Baskerville Old Face" w:cs="TimesTen-Roman"/>
          <w:sz w:val="24"/>
          <w:szCs w:val="20"/>
        </w:rPr>
        <w:t xml:space="preserve"> </w:t>
      </w:r>
      <w:r w:rsidRPr="00136875">
        <w:rPr>
          <w:rFonts w:ascii="Baskerville Old Face" w:hAnsi="Baskerville Old Face" w:cs="TimesTen-Roman"/>
          <w:sz w:val="24"/>
          <w:szCs w:val="20"/>
        </w:rPr>
        <w:t xml:space="preserve">of </w:t>
      </w:r>
      <w:r w:rsidRPr="00136875">
        <w:rPr>
          <w:rFonts w:ascii="Baskerville Old Face" w:hAnsi="Baskerville Old Face" w:cs="TimesTen-Roman"/>
          <w:sz w:val="24"/>
          <w:szCs w:val="20"/>
        </w:rPr>
        <w:lastRenderedPageBreak/>
        <w:t>the other</w:t>
      </w:r>
      <w:r>
        <w:rPr>
          <w:rFonts w:ascii="TimesTen-Roman" w:hAnsi="TimesTen-Roman" w:cs="TimesTen-Roman"/>
          <w:sz w:val="20"/>
          <w:szCs w:val="20"/>
        </w:rPr>
        <w:t>.</w:t>
      </w:r>
      <w:r>
        <w:rPr>
          <w:rFonts w:ascii="TimesTen-Roman" w:hAnsi="TimesTen-Roman" w:cs="TimesTen-Roman"/>
          <w:sz w:val="20"/>
          <w:szCs w:val="20"/>
        </w:rPr>
        <w:t xml:space="preserve"> </w:t>
      </w:r>
      <w:bookmarkStart w:id="0" w:name="_GoBack"/>
      <w:bookmarkEnd w:id="0"/>
      <w:r w:rsidR="008142D2" w:rsidRPr="008142D2">
        <w:rPr>
          <w:rFonts w:ascii="Baskerville Old Face" w:eastAsia="LiberationSerif" w:hAnsi="Baskerville Old Face" w:cs="LiberationSerif"/>
          <w:sz w:val="24"/>
          <w:szCs w:val="24"/>
        </w:rPr>
        <w:t>A classic example is the functional antagonism by epinephrine to histamine-induced bronchoconstriction.</w:t>
      </w: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Histamine binds to H1 histamine receptors on bronchial smooth muscle, causing bronchoconstriction of the</w:t>
      </w:r>
    </w:p>
    <w:p w:rsid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proofErr w:type="gramStart"/>
      <w:r w:rsidRPr="008142D2">
        <w:rPr>
          <w:rFonts w:ascii="Baskerville Old Face" w:eastAsia="LiberationSerif" w:hAnsi="Baskerville Old Face" w:cs="LiberationSerif"/>
          <w:sz w:val="24"/>
          <w:szCs w:val="24"/>
        </w:rPr>
        <w:t>bronchial</w:t>
      </w:r>
      <w:proofErr w:type="gramEnd"/>
      <w:r w:rsidRPr="008142D2">
        <w:rPr>
          <w:rFonts w:ascii="Baskerville Old Face" w:eastAsia="LiberationSerif" w:hAnsi="Baskerville Old Face" w:cs="LiberationSerif"/>
          <w:sz w:val="24"/>
          <w:szCs w:val="24"/>
        </w:rPr>
        <w:t xml:space="preserve"> tree. Epinephrine is an agonist at </w:t>
      </w:r>
      <w:r w:rsidRPr="008142D2">
        <w:rPr>
          <w:rFonts w:ascii="Cambria" w:eastAsia="LiberationSerif" w:hAnsi="Cambria" w:cs="Cambria"/>
          <w:sz w:val="24"/>
          <w:szCs w:val="24"/>
        </w:rPr>
        <w:t>β</w:t>
      </w:r>
      <w:r w:rsidRPr="008142D2">
        <w:rPr>
          <w:rFonts w:ascii="Baskerville Old Face" w:eastAsia="LiberationSerif" w:hAnsi="Baskerville Old Face" w:cs="LiberationSerif"/>
          <w:sz w:val="24"/>
          <w:szCs w:val="24"/>
        </w:rPr>
        <w:t>2-adrenoceptors on bronchial smooth muscle, which causes the muscles to relax. This functional antagonism is also known as “physiologic antagonism.”</w:t>
      </w:r>
    </w:p>
    <w:p w:rsidR="008142D2" w:rsidRPr="008142D2" w:rsidRDefault="008142D2" w:rsidP="008142D2">
      <w:pPr>
        <w:autoSpaceDE w:val="0"/>
        <w:autoSpaceDN w:val="0"/>
        <w:adjustRightInd w:val="0"/>
        <w:spacing w:after="0" w:line="276" w:lineRule="auto"/>
        <w:jc w:val="both"/>
        <w:rPr>
          <w:rFonts w:ascii="Baskerville Old Face" w:hAnsi="Baskerville Old Face" w:cs="LiberationSerif-Bold"/>
          <w:b/>
          <w:bCs/>
          <w:sz w:val="24"/>
          <w:szCs w:val="24"/>
        </w:rPr>
      </w:pPr>
      <w:proofErr w:type="spellStart"/>
      <w:r w:rsidRPr="008142D2">
        <w:rPr>
          <w:rFonts w:ascii="Baskerville Old Face" w:hAnsi="Baskerville Old Face" w:cs="LiberationSerif-Bold"/>
          <w:b/>
          <w:bCs/>
          <w:sz w:val="24"/>
          <w:szCs w:val="24"/>
        </w:rPr>
        <w:t>Quantal</w:t>
      </w:r>
      <w:proofErr w:type="spellEnd"/>
      <w:r w:rsidRPr="008142D2">
        <w:rPr>
          <w:rFonts w:ascii="Baskerville Old Face" w:hAnsi="Baskerville Old Face" w:cs="LiberationSerif-Bold"/>
          <w:b/>
          <w:bCs/>
          <w:sz w:val="24"/>
          <w:szCs w:val="24"/>
        </w:rPr>
        <w:t xml:space="preserve"> Dose–Response Relationships</w:t>
      </w:r>
    </w:p>
    <w:p w:rsid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 xml:space="preserve">Another important dose–response relationship is that between the dose of the drug and the proportion of a population of patients that responds to it. These responses are known as </w:t>
      </w:r>
      <w:proofErr w:type="spellStart"/>
      <w:r w:rsidRPr="008142D2">
        <w:rPr>
          <w:rFonts w:ascii="Baskerville Old Face" w:eastAsia="LiberationSerif" w:hAnsi="Baskerville Old Face" w:cs="LiberationSerif"/>
          <w:sz w:val="24"/>
          <w:szCs w:val="24"/>
        </w:rPr>
        <w:t>quantal</w:t>
      </w:r>
      <w:proofErr w:type="spellEnd"/>
      <w:r w:rsidRPr="008142D2">
        <w:rPr>
          <w:rFonts w:ascii="Baskerville Old Face" w:eastAsia="LiberationSerif" w:hAnsi="Baskerville Old Face" w:cs="LiberationSerif"/>
          <w:sz w:val="24"/>
          <w:szCs w:val="24"/>
        </w:rPr>
        <w:t xml:space="preserve"> responses, because, for any individual, either the effect occurs or it does not. Graded responses can be transformed to </w:t>
      </w:r>
      <w:proofErr w:type="spellStart"/>
      <w:r w:rsidRPr="008142D2">
        <w:rPr>
          <w:rFonts w:ascii="Baskerville Old Face" w:eastAsia="LiberationSerif" w:hAnsi="Baskerville Old Face" w:cs="LiberationSerif"/>
          <w:sz w:val="24"/>
          <w:szCs w:val="24"/>
        </w:rPr>
        <w:t>quantal</w:t>
      </w:r>
      <w:proofErr w:type="spellEnd"/>
      <w:r w:rsidRPr="008142D2">
        <w:rPr>
          <w:rFonts w:ascii="Baskerville Old Face" w:eastAsia="LiberationSerif" w:hAnsi="Baskerville Old Face" w:cs="LiberationSerif"/>
          <w:sz w:val="24"/>
          <w:szCs w:val="24"/>
        </w:rPr>
        <w:t xml:space="preserve"> responses by designating a predetermined level of the graded response as the point at which a response occurs or not. For example, a </w:t>
      </w:r>
      <w:proofErr w:type="spellStart"/>
      <w:r w:rsidRPr="008142D2">
        <w:rPr>
          <w:rFonts w:ascii="Baskerville Old Face" w:eastAsia="LiberationSerif" w:hAnsi="Baskerville Old Face" w:cs="LiberationSerif"/>
          <w:sz w:val="24"/>
          <w:szCs w:val="24"/>
        </w:rPr>
        <w:t>quantal</w:t>
      </w:r>
      <w:proofErr w:type="spellEnd"/>
      <w:r w:rsidRPr="008142D2">
        <w:rPr>
          <w:rFonts w:ascii="Baskerville Old Face" w:eastAsia="LiberationSerif" w:hAnsi="Baskerville Old Face" w:cs="LiberationSerif"/>
          <w:sz w:val="24"/>
          <w:szCs w:val="24"/>
        </w:rPr>
        <w:t xml:space="preserve"> dose–response relationship can be determined in a population for the antihypertensive drug </w:t>
      </w:r>
      <w:r w:rsidRPr="008142D2">
        <w:rPr>
          <w:rFonts w:ascii="Baskerville Old Face" w:hAnsi="Baskerville Old Face" w:cs="LiberationSerif-Italic"/>
          <w:i/>
          <w:iCs/>
          <w:sz w:val="24"/>
          <w:szCs w:val="24"/>
        </w:rPr>
        <w:t>atenolol</w:t>
      </w:r>
      <w:r w:rsidRPr="008142D2">
        <w:rPr>
          <w:rFonts w:ascii="Baskerville Old Face" w:eastAsia="LiberationSerif" w:hAnsi="Baskerville Old Face" w:cs="LiberationSerif"/>
          <w:sz w:val="24"/>
          <w:szCs w:val="24"/>
        </w:rPr>
        <w:t xml:space="preserve">. A positive response is defined as a fall of at least 5 mm Hg in diastolic blood pressure. </w:t>
      </w:r>
      <w:proofErr w:type="spellStart"/>
      <w:r w:rsidRPr="008142D2">
        <w:rPr>
          <w:rFonts w:ascii="Baskerville Old Face" w:eastAsia="LiberationSerif" w:hAnsi="Baskerville Old Face" w:cs="LiberationSerif"/>
          <w:sz w:val="24"/>
          <w:szCs w:val="24"/>
        </w:rPr>
        <w:t>Quantal</w:t>
      </w:r>
      <w:proofErr w:type="spellEnd"/>
      <w:r w:rsidRPr="008142D2">
        <w:rPr>
          <w:rFonts w:ascii="Baskerville Old Face" w:eastAsia="LiberationSerif" w:hAnsi="Baskerville Old Face" w:cs="LiberationSerif"/>
          <w:sz w:val="24"/>
          <w:szCs w:val="24"/>
        </w:rPr>
        <w:t xml:space="preserve"> dose– response curves are useful for determining doses to which most of the population responds. They have similar shapes as log dose–response curves, and the ED50 is the drug dose that causes a therapeutic response in half of the population.</w:t>
      </w:r>
    </w:p>
    <w:p w:rsidR="008142D2" w:rsidRPr="008142D2" w:rsidRDefault="008142D2" w:rsidP="008142D2">
      <w:pPr>
        <w:autoSpaceDE w:val="0"/>
        <w:autoSpaceDN w:val="0"/>
        <w:adjustRightInd w:val="0"/>
        <w:spacing w:after="0" w:line="276" w:lineRule="auto"/>
        <w:jc w:val="both"/>
        <w:rPr>
          <w:rFonts w:ascii="Baskerville Old Face" w:hAnsi="Baskerville Old Face" w:cs="LiberationSerif-Bold"/>
          <w:b/>
          <w:bCs/>
          <w:sz w:val="28"/>
          <w:szCs w:val="24"/>
        </w:rPr>
      </w:pPr>
      <w:r w:rsidRPr="008142D2">
        <w:rPr>
          <w:rFonts w:ascii="Baskerville Old Face" w:hAnsi="Baskerville Old Face" w:cs="LiberationSerif-Bold"/>
          <w:b/>
          <w:bCs/>
          <w:sz w:val="28"/>
          <w:szCs w:val="24"/>
        </w:rPr>
        <w:t>Therapeutic index</w:t>
      </w: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 xml:space="preserve">The therapeutic index (TI) of a drug is the ratio of the dose that produces toxicity in half the population (TD50) to the dose that produces a clinically desired or effective response (ED50) in half the population: </w:t>
      </w:r>
      <w:r w:rsidRPr="008142D2">
        <w:rPr>
          <w:rFonts w:ascii="Baskerville Old Face" w:eastAsia="LiberationSerif" w:hAnsi="Baskerville Old Face" w:cs="LiberationSerif"/>
          <w:noProof/>
          <w:sz w:val="24"/>
          <w:szCs w:val="24"/>
        </w:rPr>
        <w:drawing>
          <wp:inline distT="0" distB="0" distL="0" distR="0" wp14:anchorId="76C32B3E" wp14:editId="385EF2A5">
            <wp:extent cx="1820849" cy="338523"/>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5320" cy="348650"/>
                    </a:xfrm>
                    <a:prstGeom prst="rect">
                      <a:avLst/>
                    </a:prstGeom>
                    <a:noFill/>
                    <a:ln>
                      <a:noFill/>
                    </a:ln>
                  </pic:spPr>
                </pic:pic>
              </a:graphicData>
            </a:graphic>
          </wp:inline>
        </w:drawing>
      </w:r>
    </w:p>
    <w:p w:rsidR="008142D2" w:rsidRP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The TI is a measure of a drug’s safety, because a larger value indicates a wide margin between doses that are effective and doses that are toxic.</w:t>
      </w:r>
    </w:p>
    <w:p w:rsidR="008142D2" w:rsidRPr="008142D2" w:rsidRDefault="008142D2" w:rsidP="008142D2">
      <w:pPr>
        <w:autoSpaceDE w:val="0"/>
        <w:autoSpaceDN w:val="0"/>
        <w:adjustRightInd w:val="0"/>
        <w:spacing w:after="0" w:line="276" w:lineRule="auto"/>
        <w:jc w:val="both"/>
        <w:rPr>
          <w:rFonts w:ascii="Baskerville Old Face" w:hAnsi="Baskerville Old Face" w:cs="LiberationSerif-Bold"/>
          <w:b/>
          <w:bCs/>
          <w:sz w:val="24"/>
          <w:szCs w:val="24"/>
        </w:rPr>
      </w:pPr>
      <w:r w:rsidRPr="008142D2">
        <w:rPr>
          <w:rFonts w:ascii="Baskerville Old Face" w:hAnsi="Baskerville Old Face" w:cs="LiberationSerif-Bold"/>
          <w:b/>
          <w:bCs/>
          <w:sz w:val="24"/>
          <w:szCs w:val="24"/>
        </w:rPr>
        <w:t>Clinical usefulness of the therapeutic index</w:t>
      </w:r>
    </w:p>
    <w:p w:rsidR="008142D2" w:rsidRDefault="008142D2" w:rsidP="008142D2">
      <w:pPr>
        <w:autoSpaceDE w:val="0"/>
        <w:autoSpaceDN w:val="0"/>
        <w:adjustRightInd w:val="0"/>
        <w:spacing w:after="0" w:line="276" w:lineRule="auto"/>
        <w:jc w:val="both"/>
        <w:rPr>
          <w:rFonts w:ascii="Baskerville Old Face" w:eastAsia="LiberationSerif" w:hAnsi="Baskerville Old Face" w:cs="LiberationSerif"/>
          <w:sz w:val="24"/>
          <w:szCs w:val="24"/>
        </w:rPr>
      </w:pPr>
      <w:r w:rsidRPr="008142D2">
        <w:rPr>
          <w:rFonts w:ascii="Baskerville Old Face" w:eastAsia="LiberationSerif" w:hAnsi="Baskerville Old Face" w:cs="LiberationSerif"/>
          <w:sz w:val="24"/>
          <w:szCs w:val="24"/>
        </w:rPr>
        <w:t xml:space="preserve">The TI of a drug is determined using drug trials and accumulated clinical experience. These usually reveal a range of effective doses and a different (sometimes overlapping) range of toxic doses. Although high TI values are required for most drugs, some drugs with low therapeutic indices are routinely used to treat serious diseases. In these cases, the risk of experiencing adverse effects is not as great as the risk of leaving the disease untreated. Figure 6 shows the responses to </w:t>
      </w:r>
      <w:r w:rsidRPr="008142D2">
        <w:rPr>
          <w:rFonts w:ascii="Baskerville Old Face" w:hAnsi="Baskerville Old Face" w:cs="LiberationSerif-Italic"/>
          <w:i/>
          <w:iCs/>
          <w:sz w:val="24"/>
          <w:szCs w:val="24"/>
        </w:rPr>
        <w:t>warfarin</w:t>
      </w:r>
      <w:r w:rsidRPr="008142D2">
        <w:rPr>
          <w:rFonts w:ascii="Baskerville Old Face" w:eastAsia="LiberationSerif" w:hAnsi="Baskerville Old Face" w:cs="LiberationSerif"/>
          <w:sz w:val="24"/>
          <w:szCs w:val="24"/>
        </w:rPr>
        <w:t xml:space="preserve">, an oral anticoagulant with a low TI, and </w:t>
      </w:r>
      <w:r w:rsidRPr="008142D2">
        <w:rPr>
          <w:rFonts w:ascii="Baskerville Old Face" w:hAnsi="Baskerville Old Face" w:cs="LiberationSerif-Italic"/>
          <w:i/>
          <w:iCs/>
          <w:sz w:val="24"/>
          <w:szCs w:val="24"/>
        </w:rPr>
        <w:t>penicillin</w:t>
      </w:r>
      <w:r w:rsidRPr="008142D2">
        <w:rPr>
          <w:rFonts w:ascii="Baskerville Old Face" w:eastAsia="LiberationSerif" w:hAnsi="Baskerville Old Face" w:cs="LiberationSerif"/>
          <w:sz w:val="24"/>
          <w:szCs w:val="24"/>
        </w:rPr>
        <w:t>, an antimicrobial drug with a large TI.</w:t>
      </w:r>
    </w:p>
    <w:p w:rsidR="008142D2" w:rsidRDefault="00182090" w:rsidP="008142D2">
      <w:pPr>
        <w:autoSpaceDE w:val="0"/>
        <w:autoSpaceDN w:val="0"/>
        <w:adjustRightInd w:val="0"/>
        <w:spacing w:after="0" w:line="276" w:lineRule="auto"/>
        <w:jc w:val="both"/>
        <w:rPr>
          <w:rFonts w:ascii="Baskerville Old Face" w:hAnsi="Baskerville Old Face"/>
          <w:b/>
          <w:spacing w:val="2"/>
          <w:sz w:val="24"/>
          <w:szCs w:val="24"/>
        </w:rPr>
      </w:pPr>
      <w:r w:rsidRPr="00182090">
        <w:rPr>
          <w:rFonts w:ascii="Baskerville Old Face" w:hAnsi="Baskerville Old Face"/>
          <w:b/>
          <w:noProof/>
          <w:spacing w:val="2"/>
          <w:sz w:val="24"/>
          <w:szCs w:val="24"/>
        </w:rPr>
        <w:lastRenderedPageBreak/>
        <w:drawing>
          <wp:inline distT="0" distB="0" distL="0" distR="0">
            <wp:extent cx="4152849" cy="4166483"/>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112" cy="4171763"/>
                    </a:xfrm>
                    <a:prstGeom prst="rect">
                      <a:avLst/>
                    </a:prstGeom>
                    <a:noFill/>
                    <a:ln>
                      <a:noFill/>
                    </a:ln>
                  </pic:spPr>
                </pic:pic>
              </a:graphicData>
            </a:graphic>
          </wp:inline>
        </w:drawing>
      </w:r>
    </w:p>
    <w:p w:rsidR="00182090" w:rsidRDefault="00182090" w:rsidP="008142D2">
      <w:pPr>
        <w:autoSpaceDE w:val="0"/>
        <w:autoSpaceDN w:val="0"/>
        <w:adjustRightInd w:val="0"/>
        <w:spacing w:after="0" w:line="276" w:lineRule="auto"/>
        <w:jc w:val="both"/>
        <w:rPr>
          <w:rFonts w:ascii="Baskerville Old Face" w:hAnsi="Baskerville Old Face"/>
          <w:b/>
          <w:spacing w:val="2"/>
          <w:sz w:val="24"/>
          <w:szCs w:val="24"/>
        </w:rPr>
      </w:pPr>
      <w:r w:rsidRPr="00182090">
        <w:rPr>
          <w:rFonts w:ascii="Baskerville Old Face" w:hAnsi="Baskerville Old Face"/>
          <w:b/>
          <w:noProof/>
          <w:spacing w:val="2"/>
          <w:sz w:val="24"/>
          <w:szCs w:val="24"/>
        </w:rPr>
        <w:drawing>
          <wp:inline distT="0" distB="0" distL="0" distR="0">
            <wp:extent cx="3907908" cy="36809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726" cy="3686382"/>
                    </a:xfrm>
                    <a:prstGeom prst="rect">
                      <a:avLst/>
                    </a:prstGeom>
                    <a:noFill/>
                    <a:ln>
                      <a:noFill/>
                    </a:ln>
                  </pic:spPr>
                </pic:pic>
              </a:graphicData>
            </a:graphic>
          </wp:inline>
        </w:drawing>
      </w:r>
    </w:p>
    <w:p w:rsidR="00182090" w:rsidRDefault="00182090" w:rsidP="00182090">
      <w:pPr>
        <w:autoSpaceDE w:val="0"/>
        <w:autoSpaceDN w:val="0"/>
        <w:adjustRightInd w:val="0"/>
        <w:spacing w:after="0" w:line="240" w:lineRule="auto"/>
        <w:rPr>
          <w:rFonts w:ascii="Baskerville Old Face" w:eastAsia="LiberationSerif" w:hAnsi="Baskerville Old Face" w:cs="LiberationSerif"/>
          <w:b/>
          <w:sz w:val="20"/>
          <w:szCs w:val="26"/>
        </w:rPr>
      </w:pPr>
      <w:r w:rsidRPr="00182090">
        <w:rPr>
          <w:rFonts w:ascii="Baskerville Old Face" w:hAnsi="Baskerville Old Face" w:cs="LiberationSerif-Bold"/>
          <w:b/>
          <w:bCs/>
          <w:sz w:val="20"/>
          <w:szCs w:val="26"/>
        </w:rPr>
        <w:t xml:space="preserve">Figure 6. </w:t>
      </w:r>
      <w:r w:rsidRPr="00182090">
        <w:rPr>
          <w:rFonts w:ascii="Baskerville Old Face" w:eastAsia="LiberationSerif" w:hAnsi="Baskerville Old Face" w:cs="LiberationSerif"/>
          <w:b/>
          <w:sz w:val="20"/>
          <w:szCs w:val="26"/>
        </w:rPr>
        <w:t xml:space="preserve">Cumulative percentage of patients responding to plasma levels of </w:t>
      </w:r>
      <w:r w:rsidRPr="00182090">
        <w:rPr>
          <w:rFonts w:ascii="Baskerville Old Face" w:hAnsi="Baskerville Old Face" w:cs="LiberationSerif-Italic"/>
          <w:b/>
          <w:i/>
          <w:iCs/>
          <w:sz w:val="20"/>
          <w:szCs w:val="26"/>
        </w:rPr>
        <w:t xml:space="preserve">warfarin </w:t>
      </w:r>
      <w:r w:rsidRPr="00182090">
        <w:rPr>
          <w:rFonts w:ascii="Baskerville Old Face" w:eastAsia="LiberationSerif" w:hAnsi="Baskerville Old Face" w:cs="LiberationSerif"/>
          <w:b/>
          <w:sz w:val="20"/>
          <w:szCs w:val="26"/>
        </w:rPr>
        <w:t xml:space="preserve">and </w:t>
      </w:r>
      <w:r w:rsidRPr="00182090">
        <w:rPr>
          <w:rFonts w:ascii="Baskerville Old Face" w:hAnsi="Baskerville Old Face" w:cs="LiberationSerif-Italic"/>
          <w:b/>
          <w:i/>
          <w:iCs/>
          <w:sz w:val="20"/>
          <w:szCs w:val="26"/>
        </w:rPr>
        <w:t>penicillin</w:t>
      </w:r>
      <w:r w:rsidRPr="00182090">
        <w:rPr>
          <w:rFonts w:ascii="Baskerville Old Face" w:eastAsia="LiberationSerif" w:hAnsi="Baskerville Old Face" w:cs="LiberationSerif"/>
          <w:b/>
          <w:sz w:val="20"/>
          <w:szCs w:val="26"/>
        </w:rPr>
        <w:t>.</w:t>
      </w:r>
    </w:p>
    <w:p w:rsidR="00182090" w:rsidRDefault="00182090" w:rsidP="00182090">
      <w:pPr>
        <w:autoSpaceDE w:val="0"/>
        <w:autoSpaceDN w:val="0"/>
        <w:adjustRightInd w:val="0"/>
        <w:spacing w:after="0" w:line="240" w:lineRule="auto"/>
        <w:rPr>
          <w:rFonts w:ascii="LiberationSerif-BoldItalic" w:hAnsi="LiberationSerif-BoldItalic" w:cs="LiberationSerif-BoldItalic"/>
          <w:b/>
          <w:bCs/>
          <w:i/>
          <w:iCs/>
          <w:color w:val="000000"/>
          <w:sz w:val="26"/>
          <w:szCs w:val="26"/>
        </w:rPr>
      </w:pPr>
    </w:p>
    <w:p w:rsidR="00261621" w:rsidRDefault="00261621" w:rsidP="00182090">
      <w:pPr>
        <w:autoSpaceDE w:val="0"/>
        <w:autoSpaceDN w:val="0"/>
        <w:adjustRightInd w:val="0"/>
        <w:spacing w:after="0" w:line="276" w:lineRule="auto"/>
        <w:jc w:val="both"/>
        <w:rPr>
          <w:rFonts w:ascii="Baskerville Old Face" w:hAnsi="Baskerville Old Face" w:cs="LiberationSerif-BoldItalic"/>
          <w:b/>
          <w:bCs/>
          <w:i/>
          <w:iCs/>
          <w:sz w:val="24"/>
          <w:szCs w:val="24"/>
        </w:rPr>
      </w:pPr>
    </w:p>
    <w:p w:rsidR="00261621" w:rsidRDefault="00261621" w:rsidP="00182090">
      <w:pPr>
        <w:autoSpaceDE w:val="0"/>
        <w:autoSpaceDN w:val="0"/>
        <w:adjustRightInd w:val="0"/>
        <w:spacing w:after="0" w:line="276" w:lineRule="auto"/>
        <w:jc w:val="both"/>
        <w:rPr>
          <w:rFonts w:ascii="Baskerville Old Face" w:hAnsi="Baskerville Old Face" w:cs="LiberationSerif-BoldItalic"/>
          <w:b/>
          <w:bCs/>
          <w:i/>
          <w:iCs/>
          <w:sz w:val="24"/>
          <w:szCs w:val="24"/>
        </w:rPr>
      </w:pPr>
    </w:p>
    <w:p w:rsidR="00182090" w:rsidRPr="00182090" w:rsidRDefault="00182090" w:rsidP="00182090">
      <w:pPr>
        <w:autoSpaceDE w:val="0"/>
        <w:autoSpaceDN w:val="0"/>
        <w:adjustRightInd w:val="0"/>
        <w:spacing w:after="0" w:line="276" w:lineRule="auto"/>
        <w:jc w:val="both"/>
        <w:rPr>
          <w:rFonts w:ascii="Baskerville Old Face" w:hAnsi="Baskerville Old Face" w:cs="LiberationSerif-Bold"/>
          <w:b/>
          <w:bCs/>
          <w:sz w:val="24"/>
          <w:szCs w:val="24"/>
        </w:rPr>
      </w:pPr>
      <w:r w:rsidRPr="00182090">
        <w:rPr>
          <w:rFonts w:ascii="Baskerville Old Face" w:hAnsi="Baskerville Old Face" w:cs="LiberationSerif-BoldItalic"/>
          <w:b/>
          <w:bCs/>
          <w:i/>
          <w:iCs/>
          <w:sz w:val="24"/>
          <w:szCs w:val="24"/>
        </w:rPr>
        <w:lastRenderedPageBreak/>
        <w:t xml:space="preserve">Warfarin </w:t>
      </w:r>
      <w:r w:rsidRPr="00182090">
        <w:rPr>
          <w:rFonts w:ascii="Baskerville Old Face" w:hAnsi="Baskerville Old Face" w:cs="LiberationSerif-Bold"/>
          <w:b/>
          <w:bCs/>
          <w:sz w:val="24"/>
          <w:szCs w:val="24"/>
        </w:rPr>
        <w:t>(example of a drug with a small therapeutic index)</w:t>
      </w:r>
    </w:p>
    <w:p w:rsidR="00182090" w:rsidRPr="00182090" w:rsidRDefault="00182090" w:rsidP="00182090">
      <w:pPr>
        <w:autoSpaceDE w:val="0"/>
        <w:autoSpaceDN w:val="0"/>
        <w:adjustRightInd w:val="0"/>
        <w:spacing w:after="0" w:line="276" w:lineRule="auto"/>
        <w:jc w:val="both"/>
        <w:rPr>
          <w:rFonts w:ascii="Baskerville Old Face" w:eastAsia="LiberationSerif" w:hAnsi="Baskerville Old Face" w:cs="LiberationSerif"/>
          <w:sz w:val="24"/>
          <w:szCs w:val="24"/>
        </w:rPr>
      </w:pPr>
      <w:r w:rsidRPr="00182090">
        <w:rPr>
          <w:rFonts w:ascii="Baskerville Old Face" w:eastAsia="LiberationSerif" w:hAnsi="Baskerville Old Face" w:cs="LiberationSerif"/>
          <w:sz w:val="24"/>
          <w:szCs w:val="24"/>
        </w:rPr>
        <w:t xml:space="preserve">As the dose of </w:t>
      </w:r>
      <w:r w:rsidRPr="00182090">
        <w:rPr>
          <w:rFonts w:ascii="Baskerville Old Face" w:hAnsi="Baskerville Old Face" w:cs="LiberationSerif-Italic"/>
          <w:i/>
          <w:iCs/>
          <w:sz w:val="24"/>
          <w:szCs w:val="24"/>
        </w:rPr>
        <w:t xml:space="preserve">warfarin </w:t>
      </w:r>
      <w:r w:rsidRPr="00182090">
        <w:rPr>
          <w:rFonts w:ascii="Baskerville Old Face" w:eastAsia="LiberationSerif" w:hAnsi="Baskerville Old Face" w:cs="LiberationSerif"/>
          <w:sz w:val="24"/>
          <w:szCs w:val="24"/>
        </w:rPr>
        <w:t>is increased, a greater fraction of the patients respond (for this drug, the desired response is</w:t>
      </w:r>
      <w:r w:rsidR="0050493D">
        <w:rPr>
          <w:rFonts w:ascii="Baskerville Old Face" w:eastAsia="LiberationSerif" w:hAnsi="Baskerville Old Face" w:cs="LiberationSerif"/>
          <w:sz w:val="24"/>
          <w:szCs w:val="24"/>
        </w:rPr>
        <w:t xml:space="preserve"> </w:t>
      </w:r>
      <w:r w:rsidRPr="00182090">
        <w:rPr>
          <w:rFonts w:ascii="Baskerville Old Face" w:eastAsia="LiberationSerif" w:hAnsi="Baskerville Old Face" w:cs="LiberationSerif"/>
          <w:sz w:val="24"/>
          <w:szCs w:val="24"/>
        </w:rPr>
        <w:t xml:space="preserve">a two- to threefold increase in the international normalized ratio [INR]) until, eventually, all patients respond (Figure 6A). However, at higher doses of </w:t>
      </w:r>
      <w:r w:rsidRPr="00182090">
        <w:rPr>
          <w:rFonts w:ascii="Baskerville Old Face" w:hAnsi="Baskerville Old Face" w:cs="LiberationSerif-Italic"/>
          <w:i/>
          <w:iCs/>
          <w:sz w:val="24"/>
          <w:szCs w:val="24"/>
        </w:rPr>
        <w:t>warfarin</w:t>
      </w:r>
      <w:r w:rsidRPr="00182090">
        <w:rPr>
          <w:rFonts w:ascii="Baskerville Old Face" w:eastAsia="LiberationSerif" w:hAnsi="Baskerville Old Face" w:cs="LiberationSerif"/>
          <w:sz w:val="24"/>
          <w:szCs w:val="24"/>
        </w:rPr>
        <w:t>, anticoagulation resulting in hemorrhage occurs in a small percent of patients. Agents with a low TI (that is, drugs for which dose is critically important) are those drugs for which bioavailability critically alters the therapeutic effects.</w:t>
      </w:r>
    </w:p>
    <w:p w:rsidR="00182090" w:rsidRPr="00182090" w:rsidRDefault="00182090" w:rsidP="00182090">
      <w:pPr>
        <w:autoSpaceDE w:val="0"/>
        <w:autoSpaceDN w:val="0"/>
        <w:adjustRightInd w:val="0"/>
        <w:spacing w:after="0" w:line="276" w:lineRule="auto"/>
        <w:jc w:val="both"/>
        <w:rPr>
          <w:rFonts w:ascii="Baskerville Old Face" w:hAnsi="Baskerville Old Face" w:cs="LiberationSerif-Bold"/>
          <w:b/>
          <w:bCs/>
          <w:sz w:val="24"/>
          <w:szCs w:val="24"/>
        </w:rPr>
      </w:pPr>
      <w:r w:rsidRPr="00182090">
        <w:rPr>
          <w:rFonts w:ascii="Baskerville Old Face" w:hAnsi="Baskerville Old Face" w:cs="LiberationSerif-Bold"/>
          <w:b/>
          <w:bCs/>
          <w:sz w:val="24"/>
          <w:szCs w:val="24"/>
        </w:rPr>
        <w:t xml:space="preserve"> </w:t>
      </w:r>
      <w:r w:rsidRPr="00182090">
        <w:rPr>
          <w:rFonts w:ascii="Baskerville Old Face" w:hAnsi="Baskerville Old Face" w:cs="LiberationSerif-BoldItalic"/>
          <w:b/>
          <w:bCs/>
          <w:i/>
          <w:iCs/>
          <w:sz w:val="24"/>
          <w:szCs w:val="24"/>
        </w:rPr>
        <w:t xml:space="preserve">Penicillin </w:t>
      </w:r>
      <w:r w:rsidRPr="00182090">
        <w:rPr>
          <w:rFonts w:ascii="Baskerville Old Face" w:hAnsi="Baskerville Old Face" w:cs="LiberationSerif-Bold"/>
          <w:b/>
          <w:bCs/>
          <w:sz w:val="24"/>
          <w:szCs w:val="24"/>
        </w:rPr>
        <w:t>(example of a drug with a large therapeutic index)</w:t>
      </w:r>
    </w:p>
    <w:p w:rsidR="00182090" w:rsidRDefault="00182090" w:rsidP="00182090">
      <w:pPr>
        <w:autoSpaceDE w:val="0"/>
        <w:autoSpaceDN w:val="0"/>
        <w:adjustRightInd w:val="0"/>
        <w:spacing w:after="0" w:line="276" w:lineRule="auto"/>
        <w:jc w:val="both"/>
        <w:rPr>
          <w:rFonts w:ascii="Baskerville Old Face" w:eastAsia="LiberationSerif" w:hAnsi="Baskerville Old Face" w:cs="LiberationSerif"/>
          <w:sz w:val="24"/>
          <w:szCs w:val="24"/>
        </w:rPr>
      </w:pPr>
      <w:r w:rsidRPr="00182090">
        <w:rPr>
          <w:rFonts w:ascii="Baskerville Old Face" w:eastAsia="LiberationSerif" w:hAnsi="Baskerville Old Face" w:cs="LiberationSerif"/>
          <w:sz w:val="24"/>
          <w:szCs w:val="24"/>
        </w:rPr>
        <w:t xml:space="preserve">For drugs such as </w:t>
      </w:r>
      <w:r w:rsidRPr="00182090">
        <w:rPr>
          <w:rFonts w:ascii="Baskerville Old Face" w:hAnsi="Baskerville Old Face" w:cs="LiberationSerif-Italic"/>
          <w:i/>
          <w:iCs/>
          <w:sz w:val="24"/>
          <w:szCs w:val="24"/>
        </w:rPr>
        <w:t xml:space="preserve">penicillin </w:t>
      </w:r>
      <w:r w:rsidRPr="00182090">
        <w:rPr>
          <w:rFonts w:ascii="Baskerville Old Face" w:eastAsia="LiberationSerif" w:hAnsi="Baskerville Old Face" w:cs="LiberationSerif"/>
          <w:sz w:val="24"/>
          <w:szCs w:val="24"/>
        </w:rPr>
        <w:t>(Figure 6B), it is safe and common to give doses in excess of that which is minimally required to achieve a desired response without the risk of adverse effects. In this case, bioavailability does not critically alter the therapeutic or clinical effects.</w:t>
      </w:r>
    </w:p>
    <w:p w:rsidR="00362181" w:rsidRDefault="00362181" w:rsidP="00182090">
      <w:pPr>
        <w:autoSpaceDE w:val="0"/>
        <w:autoSpaceDN w:val="0"/>
        <w:adjustRightInd w:val="0"/>
        <w:spacing w:after="0" w:line="276" w:lineRule="auto"/>
        <w:jc w:val="both"/>
        <w:rPr>
          <w:rFonts w:ascii="Baskerville Old Face" w:eastAsia="LiberationSerif" w:hAnsi="Baskerville Old Face" w:cs="LiberationSerif"/>
          <w:sz w:val="24"/>
          <w:szCs w:val="24"/>
        </w:rPr>
      </w:pPr>
    </w:p>
    <w:p w:rsidR="00362181" w:rsidRPr="00362181" w:rsidRDefault="00362181" w:rsidP="00362181">
      <w:pPr>
        <w:autoSpaceDE w:val="0"/>
        <w:autoSpaceDN w:val="0"/>
        <w:adjustRightInd w:val="0"/>
        <w:spacing w:after="0" w:line="240" w:lineRule="auto"/>
        <w:rPr>
          <w:rFonts w:ascii="Baskerville Old Face" w:hAnsi="Baskerville Old Face" w:cs="FranklinGothic-Demi"/>
          <w:b/>
          <w:sz w:val="24"/>
          <w:szCs w:val="24"/>
        </w:rPr>
      </w:pPr>
      <w:r w:rsidRPr="00362181">
        <w:rPr>
          <w:rFonts w:ascii="Baskerville Old Face" w:hAnsi="Baskerville Old Face" w:cs="FranklinGothic-Demi"/>
          <w:b/>
          <w:sz w:val="24"/>
          <w:szCs w:val="24"/>
        </w:rPr>
        <w:t>Protective Index</w:t>
      </w:r>
    </w:p>
    <w:p w:rsidR="00362181" w:rsidRPr="00362181" w:rsidRDefault="00362181" w:rsidP="00362181">
      <w:pPr>
        <w:autoSpaceDE w:val="0"/>
        <w:autoSpaceDN w:val="0"/>
        <w:adjustRightInd w:val="0"/>
        <w:spacing w:after="0" w:line="276" w:lineRule="auto"/>
        <w:jc w:val="both"/>
        <w:rPr>
          <w:rFonts w:ascii="Baskerville Old Face" w:hAnsi="Baskerville Old Face" w:cs="TimesTen-Italic"/>
          <w:i/>
          <w:iCs/>
          <w:sz w:val="24"/>
          <w:szCs w:val="24"/>
        </w:rPr>
      </w:pPr>
      <w:r w:rsidRPr="00362181">
        <w:rPr>
          <w:rFonts w:ascii="Baskerville Old Face" w:hAnsi="Baskerville Old Face" w:cs="TimesTen-Roman"/>
          <w:sz w:val="24"/>
          <w:szCs w:val="24"/>
        </w:rPr>
        <w:t xml:space="preserve">The margin of safety is only </w:t>
      </w:r>
      <w:r w:rsidRPr="00362181">
        <w:rPr>
          <w:rFonts w:ascii="Baskerville Old Face" w:hAnsi="Baskerville Old Face" w:cs="TimesTen-Italic"/>
          <w:i/>
          <w:iCs/>
          <w:sz w:val="24"/>
          <w:szCs w:val="24"/>
        </w:rPr>
        <w:t xml:space="preserve">one </w:t>
      </w:r>
      <w:r w:rsidRPr="00362181">
        <w:rPr>
          <w:rFonts w:ascii="Baskerville Old Face" w:hAnsi="Baskerville Old Face" w:cs="TimesTen-Roman"/>
          <w:sz w:val="24"/>
          <w:szCs w:val="24"/>
        </w:rPr>
        <w:t>of several criteria to be</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 xml:space="preserve">used in determining a drug’s clinical merit. Clearly, </w:t>
      </w:r>
      <w:r w:rsidRPr="00362181">
        <w:rPr>
          <w:rFonts w:ascii="Baskerville Old Face" w:hAnsi="Baskerville Old Face" w:cs="TimesTen-Italic"/>
          <w:i/>
          <w:iCs/>
          <w:sz w:val="24"/>
          <w:szCs w:val="24"/>
        </w:rPr>
        <w:t>the</w:t>
      </w:r>
      <w:r w:rsidRPr="00362181">
        <w:rPr>
          <w:rFonts w:ascii="Baskerville Old Face" w:hAnsi="Baskerville Old Face" w:cs="TimesTen-Italic"/>
          <w:i/>
          <w:iCs/>
          <w:sz w:val="24"/>
          <w:szCs w:val="24"/>
        </w:rPr>
        <w:t xml:space="preserve"> </w:t>
      </w:r>
      <w:r w:rsidRPr="00362181">
        <w:rPr>
          <w:rFonts w:ascii="Baskerville Old Face" w:hAnsi="Baskerville Old Face" w:cs="TimesTen-Italic"/>
          <w:i/>
          <w:iCs/>
          <w:sz w:val="24"/>
          <w:szCs w:val="24"/>
        </w:rPr>
        <w:t>therapeutic index is a very rough measure of safety and</w:t>
      </w:r>
      <w:r w:rsidRPr="00362181">
        <w:rPr>
          <w:rFonts w:ascii="Baskerville Old Face" w:hAnsi="Baskerville Old Face" w:cs="TimesTen-Italic"/>
          <w:i/>
          <w:iCs/>
          <w:sz w:val="24"/>
          <w:szCs w:val="24"/>
        </w:rPr>
        <w:t xml:space="preserve"> </w:t>
      </w:r>
      <w:r w:rsidRPr="00362181">
        <w:rPr>
          <w:rFonts w:ascii="Baskerville Old Face" w:hAnsi="Baskerville Old Face" w:cs="TimesTen-Italic"/>
          <w:i/>
          <w:iCs/>
          <w:sz w:val="24"/>
          <w:szCs w:val="24"/>
        </w:rPr>
        <w:t xml:space="preserve">generally represents only the starting point </w:t>
      </w:r>
      <w:r w:rsidRPr="00362181">
        <w:rPr>
          <w:rFonts w:ascii="Baskerville Old Face" w:hAnsi="Baskerville Old Face" w:cs="TimesTen-Roman"/>
          <w:sz w:val="24"/>
          <w:szCs w:val="24"/>
        </w:rPr>
        <w:t>in determining</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whether a drug is safe enough for human use.</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Usually, undesirable side effects occur in doses lower</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than the lethal doses. For example, phenobarbital induces</w:t>
      </w:r>
      <w:r>
        <w:rPr>
          <w:rFonts w:ascii="Baskerville Old Face" w:hAnsi="Baskerville Old Face" w:cs="TimesTen-Roman"/>
          <w:sz w:val="24"/>
          <w:szCs w:val="24"/>
        </w:rPr>
        <w:t xml:space="preserve"> </w:t>
      </w:r>
      <w:r w:rsidRPr="00362181">
        <w:rPr>
          <w:rFonts w:ascii="Baskerville Old Face" w:hAnsi="Baskerville Old Face" w:cs="TimesTen-Roman"/>
          <w:sz w:val="24"/>
          <w:szCs w:val="24"/>
        </w:rPr>
        <w:t>drowsiness and an associated temporary neurological</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impairment. Since anticonvulsant drugs are intended</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to allow people with epilepsy to live normal</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seizure-free lives, sedation is unacceptable.</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Thus, an important</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measure of safety for an anticonvulsant would</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be the ratio ED50 (neurological impairment)/ED50</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 xml:space="preserve">(seizure protection). This ratio is called a </w:t>
      </w:r>
      <w:r w:rsidRPr="00362181">
        <w:rPr>
          <w:rFonts w:ascii="Baskerville Old Face" w:hAnsi="Baskerville Old Face" w:cs="TimesTen-Italic"/>
          <w:i/>
          <w:iCs/>
          <w:sz w:val="24"/>
          <w:szCs w:val="24"/>
        </w:rPr>
        <w:t>protective index.</w:t>
      </w:r>
    </w:p>
    <w:p w:rsidR="00362181" w:rsidRDefault="00362181" w:rsidP="00362181">
      <w:pPr>
        <w:autoSpaceDE w:val="0"/>
        <w:autoSpaceDN w:val="0"/>
        <w:adjustRightInd w:val="0"/>
        <w:spacing w:after="0" w:line="276" w:lineRule="auto"/>
        <w:jc w:val="both"/>
        <w:rPr>
          <w:rFonts w:ascii="Baskerville Old Face" w:hAnsi="Baskerville Old Face" w:cs="TimesTen-Roman"/>
          <w:sz w:val="24"/>
          <w:szCs w:val="24"/>
        </w:rPr>
      </w:pPr>
      <w:r w:rsidRPr="00362181">
        <w:rPr>
          <w:rFonts w:ascii="Baskerville Old Face" w:hAnsi="Baskerville Old Face" w:cs="TimesTen-Roman"/>
          <w:sz w:val="24"/>
          <w:szCs w:val="24"/>
        </w:rPr>
        <w:t>The protective index for phenobarbital is approximately</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3. It is easy to see that data derived from</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dose–response curves can be used in a variety of ways</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to compare the clinical usefulness of drugs. For instance,</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a drug with a protective index of 1 is useless as an anticonvulsant,</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since the dose that protects against convulsion</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causes an unacceptable degree of drowsiness. A</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drug with a protective index of 5 would be a more</w:t>
      </w:r>
      <w:r w:rsidRPr="00362181">
        <w:rPr>
          <w:rFonts w:ascii="Baskerville Old Face" w:hAnsi="Baskerville Old Face" w:cs="TimesTen-Roman"/>
          <w:sz w:val="24"/>
          <w:szCs w:val="24"/>
        </w:rPr>
        <w:t xml:space="preserve"> </w:t>
      </w:r>
      <w:r w:rsidRPr="00362181">
        <w:rPr>
          <w:rFonts w:ascii="Baskerville Old Face" w:hAnsi="Baskerville Old Face" w:cs="TimesTen-Roman"/>
          <w:sz w:val="24"/>
          <w:szCs w:val="24"/>
        </w:rPr>
        <w:t>promising anticonvulsant than one with an index of 2.</w:t>
      </w:r>
    </w:p>
    <w:p w:rsidR="00136875" w:rsidRDefault="00136875" w:rsidP="00362181">
      <w:pPr>
        <w:autoSpaceDE w:val="0"/>
        <w:autoSpaceDN w:val="0"/>
        <w:adjustRightInd w:val="0"/>
        <w:spacing w:after="0" w:line="276" w:lineRule="auto"/>
        <w:jc w:val="both"/>
        <w:rPr>
          <w:rFonts w:ascii="Baskerville Old Face" w:hAnsi="Baskerville Old Face" w:cs="TimesTen-Roman"/>
          <w:sz w:val="24"/>
          <w:szCs w:val="24"/>
        </w:rPr>
      </w:pPr>
    </w:p>
    <w:p w:rsidR="00136875" w:rsidRPr="00362181" w:rsidRDefault="00136875" w:rsidP="00362181">
      <w:pPr>
        <w:autoSpaceDE w:val="0"/>
        <w:autoSpaceDN w:val="0"/>
        <w:adjustRightInd w:val="0"/>
        <w:spacing w:after="0" w:line="276" w:lineRule="auto"/>
        <w:jc w:val="both"/>
        <w:rPr>
          <w:rFonts w:ascii="Baskerville Old Face" w:hAnsi="Baskerville Old Face"/>
          <w:b/>
          <w:spacing w:val="2"/>
          <w:sz w:val="24"/>
          <w:szCs w:val="24"/>
        </w:rPr>
      </w:pPr>
    </w:p>
    <w:sectPr w:rsidR="00136875" w:rsidRPr="00362181" w:rsidSect="00261621">
      <w:footerReference w:type="default" r:id="rId17"/>
      <w:pgSz w:w="12240" w:h="15840"/>
      <w:pgMar w:top="851" w:right="758" w:bottom="284"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D8F" w:rsidRDefault="00F73D8F" w:rsidP="003C52DB">
      <w:pPr>
        <w:spacing w:after="0" w:line="240" w:lineRule="auto"/>
      </w:pPr>
      <w:r>
        <w:separator/>
      </w:r>
    </w:p>
  </w:endnote>
  <w:endnote w:type="continuationSeparator" w:id="0">
    <w:p w:rsidR="00F73D8F" w:rsidRDefault="00F73D8F" w:rsidP="003C5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iberationSerif">
    <w:altName w:val="MS Gothic"/>
    <w:panose1 w:val="00000000000000000000"/>
    <w:charset w:val="80"/>
    <w:family w:val="auto"/>
    <w:notTrueType/>
    <w:pitch w:val="default"/>
    <w:sig w:usb0="00000001" w:usb1="08070000" w:usb2="00000010" w:usb3="00000000" w:csb0="00020000" w:csb1="00000000"/>
  </w:font>
  <w:font w:name="LiberationSerif-Italic">
    <w:altName w:val="Times New Roman"/>
    <w:panose1 w:val="00000000000000000000"/>
    <w:charset w:val="A1"/>
    <w:family w:val="auto"/>
    <w:notTrueType/>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 w:name="LiberationSerif-Bold">
    <w:altName w:val="Times New Roman"/>
    <w:panose1 w:val="00000000000000000000"/>
    <w:charset w:val="A1"/>
    <w:family w:val="auto"/>
    <w:notTrueType/>
    <w:pitch w:val="default"/>
    <w:sig w:usb0="00000081" w:usb1="00000000" w:usb2="00000000" w:usb3="00000000" w:csb0="00000008" w:csb1="00000000"/>
  </w:font>
  <w:font w:name="TimesTen-Italic">
    <w:panose1 w:val="00000000000000000000"/>
    <w:charset w:val="00"/>
    <w:family w:val="roman"/>
    <w:notTrueType/>
    <w:pitch w:val="default"/>
    <w:sig w:usb0="00000003" w:usb1="00000000" w:usb2="00000000" w:usb3="00000000" w:csb0="00000001" w:csb1="00000000"/>
  </w:font>
  <w:font w:name="TimesTen-Roman">
    <w:panose1 w:val="00000000000000000000"/>
    <w:charset w:val="00"/>
    <w:family w:val="roman"/>
    <w:notTrueType/>
    <w:pitch w:val="default"/>
    <w:sig w:usb0="00000003" w:usb1="00000000" w:usb2="00000000" w:usb3="00000000" w:csb0="00000001" w:csb1="00000000"/>
  </w:font>
  <w:font w:name="LiberationSerif-BoldItalic">
    <w:panose1 w:val="00000000000000000000"/>
    <w:charset w:val="00"/>
    <w:family w:val="auto"/>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998922"/>
      <w:docPartObj>
        <w:docPartGallery w:val="Page Numbers (Bottom of Page)"/>
        <w:docPartUnique/>
      </w:docPartObj>
    </w:sdtPr>
    <w:sdtEndPr>
      <w:rPr>
        <w:noProof/>
      </w:rPr>
    </w:sdtEndPr>
    <w:sdtContent>
      <w:p w:rsidR="003C52DB" w:rsidRDefault="003C52DB">
        <w:pPr>
          <w:pStyle w:val="Footer"/>
          <w:jc w:val="right"/>
        </w:pPr>
        <w:r>
          <w:fldChar w:fldCharType="begin"/>
        </w:r>
        <w:r>
          <w:instrText xml:space="preserve"> PAGE   \* MERGEFORMAT </w:instrText>
        </w:r>
        <w:r>
          <w:fldChar w:fldCharType="separate"/>
        </w:r>
        <w:r w:rsidR="00136875">
          <w:rPr>
            <w:noProof/>
          </w:rPr>
          <w:t>11</w:t>
        </w:r>
        <w:r>
          <w:rPr>
            <w:noProof/>
          </w:rPr>
          <w:fldChar w:fldCharType="end"/>
        </w:r>
      </w:p>
    </w:sdtContent>
  </w:sdt>
  <w:p w:rsidR="003C52DB" w:rsidRDefault="003C52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D8F" w:rsidRDefault="00F73D8F" w:rsidP="003C52DB">
      <w:pPr>
        <w:spacing w:after="0" w:line="240" w:lineRule="auto"/>
      </w:pPr>
      <w:r>
        <w:separator/>
      </w:r>
    </w:p>
  </w:footnote>
  <w:footnote w:type="continuationSeparator" w:id="0">
    <w:p w:rsidR="00F73D8F" w:rsidRDefault="00F73D8F" w:rsidP="003C52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735453"/>
    <w:multiLevelType w:val="multilevel"/>
    <w:tmpl w:val="751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B7"/>
    <w:rsid w:val="00025D82"/>
    <w:rsid w:val="00136875"/>
    <w:rsid w:val="00182090"/>
    <w:rsid w:val="0019505F"/>
    <w:rsid w:val="001A5423"/>
    <w:rsid w:val="001C076D"/>
    <w:rsid w:val="002074B1"/>
    <w:rsid w:val="00261621"/>
    <w:rsid w:val="002650E3"/>
    <w:rsid w:val="002B6824"/>
    <w:rsid w:val="00311007"/>
    <w:rsid w:val="00362181"/>
    <w:rsid w:val="0038506F"/>
    <w:rsid w:val="00393E28"/>
    <w:rsid w:val="003C52DB"/>
    <w:rsid w:val="003E0164"/>
    <w:rsid w:val="00453362"/>
    <w:rsid w:val="00454EBD"/>
    <w:rsid w:val="004E3D70"/>
    <w:rsid w:val="0050493D"/>
    <w:rsid w:val="005062F1"/>
    <w:rsid w:val="0055288E"/>
    <w:rsid w:val="005E55B0"/>
    <w:rsid w:val="00673C21"/>
    <w:rsid w:val="006C634F"/>
    <w:rsid w:val="00720DE5"/>
    <w:rsid w:val="0074489D"/>
    <w:rsid w:val="007E592D"/>
    <w:rsid w:val="0081154F"/>
    <w:rsid w:val="00813EAB"/>
    <w:rsid w:val="008142D2"/>
    <w:rsid w:val="00863D36"/>
    <w:rsid w:val="00935B64"/>
    <w:rsid w:val="00982C4A"/>
    <w:rsid w:val="009F7449"/>
    <w:rsid w:val="00AD2AB7"/>
    <w:rsid w:val="00AE6BE5"/>
    <w:rsid w:val="00B02ECE"/>
    <w:rsid w:val="00B56CC4"/>
    <w:rsid w:val="00B72E98"/>
    <w:rsid w:val="00C30DCE"/>
    <w:rsid w:val="00C4536D"/>
    <w:rsid w:val="00C53A5B"/>
    <w:rsid w:val="00C76030"/>
    <w:rsid w:val="00CC51E6"/>
    <w:rsid w:val="00D06120"/>
    <w:rsid w:val="00DC4F11"/>
    <w:rsid w:val="00DF0956"/>
    <w:rsid w:val="00E53215"/>
    <w:rsid w:val="00E81DA0"/>
    <w:rsid w:val="00EF296F"/>
    <w:rsid w:val="00F476D8"/>
    <w:rsid w:val="00F73D8F"/>
    <w:rsid w:val="00F82970"/>
    <w:rsid w:val="00F942C1"/>
    <w:rsid w:val="00FA1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199F2-304C-41FC-A656-8DFD4CCF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D2A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C5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D2A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AB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D2A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2AB7"/>
    <w:rPr>
      <w:color w:val="0000FF"/>
      <w:u w:val="single"/>
    </w:rPr>
  </w:style>
  <w:style w:type="character" w:customStyle="1" w:styleId="Heading3Char">
    <w:name w:val="Heading 3 Char"/>
    <w:basedOn w:val="DefaultParagraphFont"/>
    <w:link w:val="Heading3"/>
    <w:uiPriority w:val="9"/>
    <w:semiHidden/>
    <w:rsid w:val="00AD2AB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82C4A"/>
    <w:rPr>
      <w:b/>
      <w:bCs/>
    </w:rPr>
  </w:style>
  <w:style w:type="character" w:customStyle="1" w:styleId="Heading2Char">
    <w:name w:val="Heading 2 Char"/>
    <w:basedOn w:val="DefaultParagraphFont"/>
    <w:link w:val="Heading2"/>
    <w:uiPriority w:val="9"/>
    <w:rsid w:val="003C52D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C5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2DB"/>
  </w:style>
  <w:style w:type="paragraph" w:styleId="Footer">
    <w:name w:val="footer"/>
    <w:basedOn w:val="Normal"/>
    <w:link w:val="FooterChar"/>
    <w:uiPriority w:val="99"/>
    <w:unhideWhenUsed/>
    <w:rsid w:val="003C5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2DB"/>
  </w:style>
  <w:style w:type="character" w:styleId="Emphasis">
    <w:name w:val="Emphasis"/>
    <w:basedOn w:val="DefaultParagraphFont"/>
    <w:uiPriority w:val="20"/>
    <w:qFormat/>
    <w:rsid w:val="00454EBD"/>
    <w:rPr>
      <w:i/>
      <w:iCs/>
    </w:rPr>
  </w:style>
  <w:style w:type="character" w:customStyle="1" w:styleId="md-assembly-caption">
    <w:name w:val="md-assembly-caption"/>
    <w:basedOn w:val="DefaultParagraphFont"/>
    <w:rsid w:val="00454EBD"/>
  </w:style>
  <w:style w:type="character" w:styleId="HTMLCite">
    <w:name w:val="HTML Cite"/>
    <w:basedOn w:val="DefaultParagraphFont"/>
    <w:uiPriority w:val="99"/>
    <w:semiHidden/>
    <w:unhideWhenUsed/>
    <w:rsid w:val="00454EBD"/>
    <w:rPr>
      <w:i/>
      <w:iCs/>
    </w:rPr>
  </w:style>
  <w:style w:type="character" w:customStyle="1" w:styleId="md-fraction">
    <w:name w:val="md-fraction"/>
    <w:basedOn w:val="DefaultParagraphFont"/>
    <w:rsid w:val="00454EBD"/>
  </w:style>
  <w:style w:type="character" w:customStyle="1" w:styleId="md-signature">
    <w:name w:val="md-signature"/>
    <w:basedOn w:val="DefaultParagraphFont"/>
    <w:rsid w:val="00454EBD"/>
  </w:style>
  <w:style w:type="paragraph" w:styleId="BalloonText">
    <w:name w:val="Balloon Text"/>
    <w:basedOn w:val="Normal"/>
    <w:link w:val="BalloonTextChar"/>
    <w:uiPriority w:val="99"/>
    <w:semiHidden/>
    <w:unhideWhenUsed/>
    <w:rsid w:val="00C53A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A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12930">
      <w:bodyDiv w:val="1"/>
      <w:marLeft w:val="0"/>
      <w:marRight w:val="0"/>
      <w:marTop w:val="0"/>
      <w:marBottom w:val="0"/>
      <w:divBdr>
        <w:top w:val="none" w:sz="0" w:space="0" w:color="auto"/>
        <w:left w:val="none" w:sz="0" w:space="0" w:color="auto"/>
        <w:bottom w:val="none" w:sz="0" w:space="0" w:color="auto"/>
        <w:right w:val="none" w:sz="0" w:space="0" w:color="auto"/>
      </w:divBdr>
    </w:div>
    <w:div w:id="63841816">
      <w:bodyDiv w:val="1"/>
      <w:marLeft w:val="0"/>
      <w:marRight w:val="0"/>
      <w:marTop w:val="0"/>
      <w:marBottom w:val="0"/>
      <w:divBdr>
        <w:top w:val="none" w:sz="0" w:space="0" w:color="auto"/>
        <w:left w:val="none" w:sz="0" w:space="0" w:color="auto"/>
        <w:bottom w:val="none" w:sz="0" w:space="0" w:color="auto"/>
        <w:right w:val="none" w:sz="0" w:space="0" w:color="auto"/>
      </w:divBdr>
    </w:div>
    <w:div w:id="152257067">
      <w:bodyDiv w:val="1"/>
      <w:marLeft w:val="0"/>
      <w:marRight w:val="0"/>
      <w:marTop w:val="0"/>
      <w:marBottom w:val="0"/>
      <w:divBdr>
        <w:top w:val="none" w:sz="0" w:space="0" w:color="auto"/>
        <w:left w:val="none" w:sz="0" w:space="0" w:color="auto"/>
        <w:bottom w:val="none" w:sz="0" w:space="0" w:color="auto"/>
        <w:right w:val="none" w:sz="0" w:space="0" w:color="auto"/>
      </w:divBdr>
    </w:div>
    <w:div w:id="167063519">
      <w:bodyDiv w:val="1"/>
      <w:marLeft w:val="0"/>
      <w:marRight w:val="0"/>
      <w:marTop w:val="0"/>
      <w:marBottom w:val="0"/>
      <w:divBdr>
        <w:top w:val="none" w:sz="0" w:space="0" w:color="auto"/>
        <w:left w:val="none" w:sz="0" w:space="0" w:color="auto"/>
        <w:bottom w:val="none" w:sz="0" w:space="0" w:color="auto"/>
        <w:right w:val="none" w:sz="0" w:space="0" w:color="auto"/>
      </w:divBdr>
      <w:divsChild>
        <w:div w:id="2048481159">
          <w:marLeft w:val="0"/>
          <w:marRight w:val="0"/>
          <w:marTop w:val="0"/>
          <w:marBottom w:val="0"/>
          <w:divBdr>
            <w:top w:val="none" w:sz="0" w:space="0" w:color="auto"/>
            <w:left w:val="none" w:sz="0" w:space="0" w:color="auto"/>
            <w:bottom w:val="none" w:sz="0" w:space="0" w:color="auto"/>
            <w:right w:val="none" w:sz="0" w:space="0" w:color="auto"/>
          </w:divBdr>
        </w:div>
        <w:div w:id="886069828">
          <w:marLeft w:val="225"/>
          <w:marRight w:val="0"/>
          <w:marTop w:val="225"/>
          <w:marBottom w:val="225"/>
          <w:divBdr>
            <w:top w:val="none" w:sz="0" w:space="0" w:color="auto"/>
            <w:left w:val="none" w:sz="0" w:space="0" w:color="auto"/>
            <w:bottom w:val="none" w:sz="0" w:space="0" w:color="auto"/>
            <w:right w:val="none" w:sz="0" w:space="0" w:color="auto"/>
          </w:divBdr>
          <w:divsChild>
            <w:div w:id="389184689">
              <w:marLeft w:val="0"/>
              <w:marRight w:val="0"/>
              <w:marTop w:val="0"/>
              <w:marBottom w:val="0"/>
              <w:divBdr>
                <w:top w:val="single" w:sz="6" w:space="9" w:color="174F6D"/>
                <w:left w:val="single" w:sz="6" w:space="9" w:color="174F6D"/>
                <w:bottom w:val="single" w:sz="6" w:space="9" w:color="174F6D"/>
                <w:right w:val="single" w:sz="6" w:space="9" w:color="174F6D"/>
              </w:divBdr>
              <w:divsChild>
                <w:div w:id="713238892">
                  <w:marLeft w:val="0"/>
                  <w:marRight w:val="0"/>
                  <w:marTop w:val="0"/>
                  <w:marBottom w:val="0"/>
                  <w:divBdr>
                    <w:top w:val="none" w:sz="0" w:space="0" w:color="auto"/>
                    <w:left w:val="none" w:sz="0" w:space="0" w:color="auto"/>
                    <w:bottom w:val="none" w:sz="0" w:space="0" w:color="auto"/>
                    <w:right w:val="none" w:sz="0" w:space="0" w:color="auto"/>
                  </w:divBdr>
                  <w:divsChild>
                    <w:div w:id="138764719">
                      <w:marLeft w:val="0"/>
                      <w:marRight w:val="0"/>
                      <w:marTop w:val="0"/>
                      <w:marBottom w:val="0"/>
                      <w:divBdr>
                        <w:top w:val="none" w:sz="0" w:space="0" w:color="auto"/>
                        <w:left w:val="none" w:sz="0" w:space="0" w:color="auto"/>
                        <w:bottom w:val="none" w:sz="0" w:space="0" w:color="auto"/>
                        <w:right w:val="none" w:sz="0" w:space="0" w:color="auto"/>
                      </w:divBdr>
                      <w:divsChild>
                        <w:div w:id="1464079355">
                          <w:marLeft w:val="0"/>
                          <w:marRight w:val="0"/>
                          <w:marTop w:val="0"/>
                          <w:marBottom w:val="0"/>
                          <w:divBdr>
                            <w:top w:val="none" w:sz="0" w:space="0" w:color="auto"/>
                            <w:left w:val="none" w:sz="0" w:space="0" w:color="auto"/>
                            <w:bottom w:val="none" w:sz="0" w:space="0" w:color="auto"/>
                            <w:right w:val="none" w:sz="0" w:space="0" w:color="auto"/>
                          </w:divBdr>
                          <w:divsChild>
                            <w:div w:id="1770395577">
                              <w:marLeft w:val="0"/>
                              <w:marRight w:val="0"/>
                              <w:marTop w:val="0"/>
                              <w:marBottom w:val="0"/>
                              <w:divBdr>
                                <w:top w:val="none" w:sz="0" w:space="0" w:color="auto"/>
                                <w:left w:val="none" w:sz="0" w:space="0" w:color="auto"/>
                                <w:bottom w:val="none" w:sz="0" w:space="0" w:color="auto"/>
                                <w:right w:val="none" w:sz="0" w:space="0" w:color="auto"/>
                              </w:divBdr>
                            </w:div>
                            <w:div w:id="1357730307">
                              <w:marLeft w:val="0"/>
                              <w:marRight w:val="0"/>
                              <w:marTop w:val="0"/>
                              <w:marBottom w:val="0"/>
                              <w:divBdr>
                                <w:top w:val="none" w:sz="0" w:space="0" w:color="auto"/>
                                <w:left w:val="none" w:sz="0" w:space="0" w:color="auto"/>
                                <w:bottom w:val="none" w:sz="0" w:space="0" w:color="auto"/>
                                <w:right w:val="none" w:sz="0" w:space="0" w:color="auto"/>
                              </w:divBdr>
                              <w:divsChild>
                                <w:div w:id="729576371">
                                  <w:marLeft w:val="0"/>
                                  <w:marRight w:val="0"/>
                                  <w:marTop w:val="0"/>
                                  <w:marBottom w:val="0"/>
                                  <w:divBdr>
                                    <w:top w:val="none" w:sz="0" w:space="0" w:color="auto"/>
                                    <w:left w:val="none" w:sz="0" w:space="0" w:color="auto"/>
                                    <w:bottom w:val="none" w:sz="0" w:space="0" w:color="auto"/>
                                    <w:right w:val="none" w:sz="0" w:space="0" w:color="auto"/>
                                  </w:divBdr>
                                  <w:divsChild>
                                    <w:div w:id="5210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300132">
      <w:bodyDiv w:val="1"/>
      <w:marLeft w:val="0"/>
      <w:marRight w:val="0"/>
      <w:marTop w:val="0"/>
      <w:marBottom w:val="0"/>
      <w:divBdr>
        <w:top w:val="none" w:sz="0" w:space="0" w:color="auto"/>
        <w:left w:val="none" w:sz="0" w:space="0" w:color="auto"/>
        <w:bottom w:val="none" w:sz="0" w:space="0" w:color="auto"/>
        <w:right w:val="none" w:sz="0" w:space="0" w:color="auto"/>
      </w:divBdr>
    </w:div>
    <w:div w:id="527836515">
      <w:bodyDiv w:val="1"/>
      <w:marLeft w:val="0"/>
      <w:marRight w:val="0"/>
      <w:marTop w:val="0"/>
      <w:marBottom w:val="0"/>
      <w:divBdr>
        <w:top w:val="none" w:sz="0" w:space="0" w:color="auto"/>
        <w:left w:val="none" w:sz="0" w:space="0" w:color="auto"/>
        <w:bottom w:val="none" w:sz="0" w:space="0" w:color="auto"/>
        <w:right w:val="none" w:sz="0" w:space="0" w:color="auto"/>
      </w:divBdr>
    </w:div>
    <w:div w:id="1476144591">
      <w:bodyDiv w:val="1"/>
      <w:marLeft w:val="0"/>
      <w:marRight w:val="0"/>
      <w:marTop w:val="0"/>
      <w:marBottom w:val="0"/>
      <w:divBdr>
        <w:top w:val="none" w:sz="0" w:space="0" w:color="auto"/>
        <w:left w:val="none" w:sz="0" w:space="0" w:color="auto"/>
        <w:bottom w:val="none" w:sz="0" w:space="0" w:color="auto"/>
        <w:right w:val="none" w:sz="0" w:space="0" w:color="auto"/>
      </w:divBdr>
      <w:divsChild>
        <w:div w:id="1069420154">
          <w:marLeft w:val="0"/>
          <w:marRight w:val="0"/>
          <w:marTop w:val="0"/>
          <w:marBottom w:val="0"/>
          <w:divBdr>
            <w:top w:val="none" w:sz="0" w:space="0" w:color="auto"/>
            <w:left w:val="none" w:sz="0" w:space="0" w:color="auto"/>
            <w:bottom w:val="none" w:sz="0" w:space="0" w:color="auto"/>
            <w:right w:val="none" w:sz="0" w:space="0" w:color="auto"/>
          </w:divBdr>
        </w:div>
        <w:div w:id="1720088613">
          <w:marLeft w:val="0"/>
          <w:marRight w:val="0"/>
          <w:marTop w:val="0"/>
          <w:marBottom w:val="0"/>
          <w:divBdr>
            <w:top w:val="none" w:sz="0" w:space="0" w:color="auto"/>
            <w:left w:val="none" w:sz="0" w:space="0" w:color="auto"/>
            <w:bottom w:val="none" w:sz="0" w:space="0" w:color="auto"/>
            <w:right w:val="none" w:sz="0" w:space="0" w:color="auto"/>
          </w:divBdr>
        </w:div>
        <w:div w:id="1072316308">
          <w:marLeft w:val="0"/>
          <w:marRight w:val="0"/>
          <w:marTop w:val="0"/>
          <w:marBottom w:val="0"/>
          <w:divBdr>
            <w:top w:val="none" w:sz="0" w:space="0" w:color="auto"/>
            <w:left w:val="none" w:sz="0" w:space="0" w:color="auto"/>
            <w:bottom w:val="none" w:sz="0" w:space="0" w:color="auto"/>
            <w:right w:val="none" w:sz="0" w:space="0" w:color="auto"/>
          </w:divBdr>
        </w:div>
        <w:div w:id="1885019514">
          <w:marLeft w:val="0"/>
          <w:marRight w:val="0"/>
          <w:marTop w:val="0"/>
          <w:marBottom w:val="0"/>
          <w:divBdr>
            <w:top w:val="none" w:sz="0" w:space="0" w:color="auto"/>
            <w:left w:val="none" w:sz="0" w:space="0" w:color="auto"/>
            <w:bottom w:val="none" w:sz="0" w:space="0" w:color="auto"/>
            <w:right w:val="none" w:sz="0" w:space="0" w:color="auto"/>
          </w:divBdr>
          <w:divsChild>
            <w:div w:id="408313067">
              <w:marLeft w:val="0"/>
              <w:marRight w:val="0"/>
              <w:marTop w:val="0"/>
              <w:marBottom w:val="0"/>
              <w:divBdr>
                <w:top w:val="none" w:sz="0" w:space="0" w:color="auto"/>
                <w:left w:val="none" w:sz="0" w:space="0" w:color="auto"/>
                <w:bottom w:val="none" w:sz="0" w:space="0" w:color="auto"/>
                <w:right w:val="none" w:sz="0" w:space="0" w:color="auto"/>
              </w:divBdr>
            </w:div>
            <w:div w:id="1064256482">
              <w:marLeft w:val="0"/>
              <w:marRight w:val="0"/>
              <w:marTop w:val="0"/>
              <w:marBottom w:val="0"/>
              <w:divBdr>
                <w:top w:val="none" w:sz="0" w:space="0" w:color="auto"/>
                <w:left w:val="none" w:sz="0" w:space="0" w:color="auto"/>
                <w:bottom w:val="none" w:sz="0" w:space="0" w:color="auto"/>
                <w:right w:val="none" w:sz="0" w:space="0" w:color="auto"/>
              </w:divBdr>
            </w:div>
            <w:div w:id="1092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5009">
      <w:bodyDiv w:val="1"/>
      <w:marLeft w:val="0"/>
      <w:marRight w:val="0"/>
      <w:marTop w:val="0"/>
      <w:marBottom w:val="0"/>
      <w:divBdr>
        <w:top w:val="none" w:sz="0" w:space="0" w:color="auto"/>
        <w:left w:val="none" w:sz="0" w:space="0" w:color="auto"/>
        <w:bottom w:val="none" w:sz="0" w:space="0" w:color="auto"/>
        <w:right w:val="none" w:sz="0" w:space="0" w:color="auto"/>
      </w:divBdr>
    </w:div>
    <w:div w:id="1899241930">
      <w:bodyDiv w:val="1"/>
      <w:marLeft w:val="0"/>
      <w:marRight w:val="0"/>
      <w:marTop w:val="0"/>
      <w:marBottom w:val="0"/>
      <w:divBdr>
        <w:top w:val="none" w:sz="0" w:space="0" w:color="auto"/>
        <w:left w:val="none" w:sz="0" w:space="0" w:color="auto"/>
        <w:bottom w:val="none" w:sz="0" w:space="0" w:color="auto"/>
        <w:right w:val="none" w:sz="0" w:space="0" w:color="auto"/>
      </w:divBdr>
      <w:divsChild>
        <w:div w:id="1209488777">
          <w:marLeft w:val="0"/>
          <w:marRight w:val="0"/>
          <w:marTop w:val="0"/>
          <w:marBottom w:val="0"/>
          <w:divBdr>
            <w:top w:val="none" w:sz="0" w:space="0" w:color="auto"/>
            <w:left w:val="none" w:sz="0" w:space="0" w:color="auto"/>
            <w:bottom w:val="none" w:sz="0" w:space="0" w:color="auto"/>
            <w:right w:val="none" w:sz="0" w:space="0" w:color="auto"/>
          </w:divBdr>
          <w:divsChild>
            <w:div w:id="776826562">
              <w:marLeft w:val="0"/>
              <w:marRight w:val="0"/>
              <w:marTop w:val="0"/>
              <w:marBottom w:val="300"/>
              <w:divBdr>
                <w:top w:val="none" w:sz="0" w:space="0" w:color="auto"/>
                <w:left w:val="none" w:sz="0" w:space="0" w:color="auto"/>
                <w:bottom w:val="none" w:sz="0" w:space="0" w:color="auto"/>
                <w:right w:val="none" w:sz="0" w:space="0" w:color="auto"/>
              </w:divBdr>
              <w:divsChild>
                <w:div w:id="1979071226">
                  <w:marLeft w:val="150"/>
                  <w:marRight w:val="150"/>
                  <w:marTop w:val="0"/>
                  <w:marBottom w:val="0"/>
                  <w:divBdr>
                    <w:top w:val="none" w:sz="0" w:space="0" w:color="auto"/>
                    <w:left w:val="none" w:sz="0" w:space="0" w:color="auto"/>
                    <w:bottom w:val="none" w:sz="0" w:space="0" w:color="auto"/>
                    <w:right w:val="none" w:sz="0" w:space="0" w:color="auto"/>
                  </w:divBdr>
                  <w:divsChild>
                    <w:div w:id="16600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3924">
              <w:marLeft w:val="0"/>
              <w:marRight w:val="0"/>
              <w:marTop w:val="0"/>
              <w:marBottom w:val="0"/>
              <w:divBdr>
                <w:top w:val="none" w:sz="0" w:space="0" w:color="auto"/>
                <w:left w:val="none" w:sz="0" w:space="0" w:color="auto"/>
                <w:bottom w:val="none" w:sz="0" w:space="0" w:color="auto"/>
                <w:right w:val="none" w:sz="0" w:space="0" w:color="auto"/>
              </w:divBdr>
              <w:divsChild>
                <w:div w:id="1875389742">
                  <w:marLeft w:val="0"/>
                  <w:marRight w:val="0"/>
                  <w:marTop w:val="0"/>
                  <w:marBottom w:val="0"/>
                  <w:divBdr>
                    <w:top w:val="none" w:sz="0" w:space="0" w:color="auto"/>
                    <w:left w:val="none" w:sz="0" w:space="0" w:color="auto"/>
                    <w:bottom w:val="none" w:sz="0" w:space="0" w:color="auto"/>
                    <w:right w:val="none" w:sz="0" w:space="0" w:color="auto"/>
                  </w:divBdr>
                  <w:divsChild>
                    <w:div w:id="1810439752">
                      <w:marLeft w:val="0"/>
                      <w:marRight w:val="0"/>
                      <w:marTop w:val="0"/>
                      <w:marBottom w:val="0"/>
                      <w:divBdr>
                        <w:top w:val="none" w:sz="0" w:space="0" w:color="auto"/>
                        <w:left w:val="none" w:sz="0" w:space="0" w:color="auto"/>
                        <w:bottom w:val="none" w:sz="0" w:space="0" w:color="auto"/>
                        <w:right w:val="none" w:sz="0" w:space="0" w:color="auto"/>
                      </w:divBdr>
                    </w:div>
                    <w:div w:id="2131121134">
                      <w:marLeft w:val="0"/>
                      <w:marRight w:val="0"/>
                      <w:marTop w:val="0"/>
                      <w:marBottom w:val="0"/>
                      <w:divBdr>
                        <w:top w:val="none" w:sz="0" w:space="0" w:color="auto"/>
                        <w:left w:val="none" w:sz="0" w:space="0" w:color="auto"/>
                        <w:bottom w:val="none" w:sz="0" w:space="0" w:color="auto"/>
                        <w:right w:val="none" w:sz="0" w:space="0" w:color="auto"/>
                      </w:divBdr>
                      <w:divsChild>
                        <w:div w:id="2025670373">
                          <w:marLeft w:val="0"/>
                          <w:marRight w:val="0"/>
                          <w:marTop w:val="0"/>
                          <w:marBottom w:val="75"/>
                          <w:divBdr>
                            <w:top w:val="none" w:sz="0" w:space="0" w:color="auto"/>
                            <w:left w:val="none" w:sz="0" w:space="0" w:color="auto"/>
                            <w:bottom w:val="none" w:sz="0" w:space="0" w:color="auto"/>
                            <w:right w:val="none" w:sz="0" w:space="0" w:color="auto"/>
                          </w:divBdr>
                        </w:div>
                        <w:div w:id="10322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0241">
              <w:marLeft w:val="0"/>
              <w:marRight w:val="0"/>
              <w:marTop w:val="0"/>
              <w:marBottom w:val="300"/>
              <w:divBdr>
                <w:top w:val="none" w:sz="0" w:space="0" w:color="auto"/>
                <w:left w:val="none" w:sz="0" w:space="0" w:color="auto"/>
                <w:bottom w:val="none" w:sz="0" w:space="0" w:color="auto"/>
                <w:right w:val="none" w:sz="0" w:space="0" w:color="auto"/>
              </w:divBdr>
              <w:divsChild>
                <w:div w:id="258762132">
                  <w:marLeft w:val="150"/>
                  <w:marRight w:val="150"/>
                  <w:marTop w:val="0"/>
                  <w:marBottom w:val="0"/>
                  <w:divBdr>
                    <w:top w:val="none" w:sz="0" w:space="0" w:color="auto"/>
                    <w:left w:val="none" w:sz="0" w:space="0" w:color="auto"/>
                    <w:bottom w:val="none" w:sz="0" w:space="0" w:color="auto"/>
                    <w:right w:val="none" w:sz="0" w:space="0" w:color="auto"/>
                  </w:divBdr>
                  <w:divsChild>
                    <w:div w:id="134127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11</Pages>
  <Words>2605</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chiemela okoro</dc:creator>
  <cp:keywords/>
  <dc:description/>
  <cp:lastModifiedBy>CHIEMELA</cp:lastModifiedBy>
  <cp:revision>35</cp:revision>
  <cp:lastPrinted>2019-09-27T14:25:00Z</cp:lastPrinted>
  <dcterms:created xsi:type="dcterms:W3CDTF">2019-08-16T10:21:00Z</dcterms:created>
  <dcterms:modified xsi:type="dcterms:W3CDTF">2024-01-03T17:01:00Z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b9d76b16929ea05a2f6708425fff8dda8f890ec9091e414b3f3d45cfafa9730d</vt:lpwstr>
  </property>
</Properties>
</file>