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449" w:rsidRPr="00975825" w:rsidRDefault="00975825" w:rsidP="00DE4449">
      <w:pPr>
        <w:spacing w:after="135" w:line="240" w:lineRule="auto"/>
        <w:rPr>
          <w:rFonts w:ascii="Helvetica" w:eastAsia="Times New Roman" w:hAnsi="Helvetica" w:cs="Helvetica"/>
          <w:sz w:val="20"/>
          <w:szCs w:val="20"/>
        </w:rPr>
      </w:pPr>
      <w:bookmarkStart w:id="0" w:name="_GoBack"/>
      <w:bookmarkEnd w:id="0"/>
      <w:r w:rsidRPr="00AE50F6">
        <w:rPr>
          <w:rFonts w:ascii="Helvetica" w:eastAsia="Times New Roman" w:hAnsi="Helvetica" w:cs="Helvetica"/>
          <w:sz w:val="20"/>
          <w:szCs w:val="20"/>
        </w:rPr>
        <w:t>Supplementa</w:t>
      </w:r>
      <w:r>
        <w:rPr>
          <w:rFonts w:ascii="Helvetica" w:eastAsia="Times New Roman" w:hAnsi="Helvetica" w:cs="Helvetica"/>
          <w:sz w:val="20"/>
          <w:szCs w:val="20"/>
        </w:rPr>
        <w:t xml:space="preserve">ry file 3. List of differentially expressed transcripts shared between 36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hr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and 28 d timepoints within susceptible family 242.  The “Trend” column indicates whether transcripts at both time points are up regulated, down regulated, or if they are expressed in opposite directions (i.e. “change”).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083"/>
        <w:gridCol w:w="1080"/>
        <w:gridCol w:w="990"/>
        <w:gridCol w:w="2700"/>
        <w:gridCol w:w="1260"/>
        <w:gridCol w:w="4315"/>
      </w:tblGrid>
      <w:tr w:rsidR="00DE4449" w:rsidRPr="00DE4449" w:rsidTr="003313AF">
        <w:trPr>
          <w:tblHeader/>
        </w:trPr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Protein ID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proofErr w:type="spellStart"/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logFC</w:t>
            </w:r>
            <w:proofErr w:type="spellEnd"/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 xml:space="preserve"> 36 </w:t>
            </w:r>
            <w:proofErr w:type="spellStart"/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proofErr w:type="spellStart"/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logFC</w:t>
            </w:r>
            <w:proofErr w:type="spellEnd"/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 xml:space="preserve"> 28 d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Trend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Sequence description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GO ID</w:t>
            </w: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GO term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XP_022286328.1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-1.746774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1.164228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uncharacterized protein LOC111099194 isoform X13</w:t>
            </w:r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E4449" w:rsidRPr="00DE4449" w:rsidTr="003313AF"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XP_022286569.1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-1.621747</w:t>
            </w:r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1.116086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Kyphoscoliosis peptidase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XP_022289633.1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1.387138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-1.459741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actin cytoskeleton-regulatory complex protein PAN1-like isoform X2</w:t>
            </w:r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E4449" w:rsidRPr="00DE4449" w:rsidTr="003313AF"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XP_022291412.1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4.547113</w:t>
            </w:r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-2.836651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uncharacterized protein LOC111102819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XP_022292096.1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-1.458716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1.027291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proprotein convertase subtilisin/</w:t>
            </w:r>
            <w:proofErr w:type="spellStart"/>
            <w:r w:rsidRPr="00DE4449">
              <w:rPr>
                <w:rFonts w:eastAsia="Times New Roman" w:cstheme="minorHAnsi"/>
                <w:sz w:val="20"/>
                <w:szCs w:val="20"/>
              </w:rPr>
              <w:t>kexin</w:t>
            </w:r>
            <w:proofErr w:type="spellEnd"/>
            <w:r w:rsidRPr="00DE4449">
              <w:rPr>
                <w:rFonts w:eastAsia="Times New Roman" w:cstheme="minorHAnsi"/>
                <w:sz w:val="20"/>
                <w:szCs w:val="20"/>
              </w:rPr>
              <w:t xml:space="preserve"> type 5-like</w:t>
            </w:r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GO:0009987</w:t>
            </w: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cellular process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XP_022292299.1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1.296847</w:t>
            </w:r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-1.456814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synaptotagmin-1-like isoform X1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GO:0005544 GO:0007269 GO:0008021 GO:0016021</w:t>
            </w: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calcium-dependent phospholipid binding; neurotransmitter secretion; synaptic vesicle; integral component of membrane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XP_022294221.1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1.277281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-1.005746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 xml:space="preserve">toll-like receptor </w:t>
            </w:r>
            <w:proofErr w:type="spellStart"/>
            <w:r w:rsidRPr="00DE4449">
              <w:rPr>
                <w:rFonts w:eastAsia="Times New Roman" w:cstheme="minorHAnsi"/>
                <w:sz w:val="20"/>
                <w:szCs w:val="20"/>
              </w:rPr>
              <w:t>Tollo</w:t>
            </w:r>
            <w:proofErr w:type="spellEnd"/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GO:0005515 GO:0016020</w:t>
            </w: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protein binding; membrane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XP_022295453.1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-2.101937</w:t>
            </w:r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1.314768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protein lava lamp-like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GO:0005515</w:t>
            </w: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protein binding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lastRenderedPageBreak/>
              <w:t>XP_022317651.1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-1.632013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1.290886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myosin heavy chain, striated muscle-like isoform X3</w:t>
            </w:r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GO:0003774 GO:0005516 GO:0005524 GO:0030016 GO:0032982 GO:0051015</w:t>
            </w: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motor activity; calmodulin binding; ATP binding; myofibril; myosin filament; actin filament binding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XP_022321979.1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1.568021</w:t>
            </w:r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-3.788921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uncharacterized protein LOC111123734 isoform X1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GO:0016020</w:t>
            </w: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membrane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XP_022322231.1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-1.150292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1.079487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PDZ and LIM domain protein 1-like</w:t>
            </w:r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E4449" w:rsidRPr="00DE4449" w:rsidTr="003313AF"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XP_022324569.1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5.802391</w:t>
            </w:r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-6.895366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fibrinogen C domain-containing protein 1-like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GO:0016021</w:t>
            </w: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integral component of membrane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XP_022324572.1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5.797614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-4.528911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fibrinogen C domain-containing protein 1-like</w:t>
            </w:r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E4449" w:rsidRPr="00DE4449" w:rsidTr="003313AF">
        <w:tc>
          <w:tcPr>
            <w:tcW w:w="152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XP_022326767.1</w:t>
            </w:r>
          </w:p>
        </w:tc>
        <w:tc>
          <w:tcPr>
            <w:tcW w:w="1083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9.351004</w:t>
            </w:r>
          </w:p>
        </w:tc>
        <w:tc>
          <w:tcPr>
            <w:tcW w:w="10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-11.152719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tetraspanin-9-like</w:t>
            </w:r>
          </w:p>
        </w:tc>
        <w:tc>
          <w:tcPr>
            <w:tcW w:w="126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GO:0016020</w:t>
            </w:r>
          </w:p>
        </w:tc>
        <w:tc>
          <w:tcPr>
            <w:tcW w:w="431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membrane</w:t>
            </w:r>
          </w:p>
        </w:tc>
      </w:tr>
      <w:tr w:rsidR="00DE4449" w:rsidRPr="00DE4449" w:rsidTr="003313AF">
        <w:tc>
          <w:tcPr>
            <w:tcW w:w="1522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XP_022340190.1</w:t>
            </w:r>
          </w:p>
        </w:tc>
        <w:tc>
          <w:tcPr>
            <w:tcW w:w="1083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-1.442970</w:t>
            </w:r>
          </w:p>
        </w:tc>
        <w:tc>
          <w:tcPr>
            <w:tcW w:w="108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1.067260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Change</w:t>
            </w:r>
          </w:p>
        </w:tc>
        <w:tc>
          <w:tcPr>
            <w:tcW w:w="270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myosin regulatory light chain</w:t>
            </w:r>
          </w:p>
        </w:tc>
        <w:tc>
          <w:tcPr>
            <w:tcW w:w="126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GO:0005509 GO:0016459</w:t>
            </w:r>
          </w:p>
        </w:tc>
        <w:tc>
          <w:tcPr>
            <w:tcW w:w="4315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449" w:rsidRPr="00DE4449" w:rsidRDefault="00DE4449" w:rsidP="00DE4449">
            <w:pPr>
              <w:spacing w:after="27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DE4449">
              <w:rPr>
                <w:rFonts w:eastAsia="Times New Roman" w:cstheme="minorHAnsi"/>
                <w:sz w:val="20"/>
                <w:szCs w:val="20"/>
              </w:rPr>
              <w:t>calcium ion binding; myosin complex</w:t>
            </w:r>
          </w:p>
        </w:tc>
      </w:tr>
    </w:tbl>
    <w:p w:rsidR="003A6D46" w:rsidRPr="00DE4449" w:rsidRDefault="003A6D46">
      <w:pPr>
        <w:rPr>
          <w:rFonts w:cstheme="minorHAnsi"/>
          <w:sz w:val="20"/>
          <w:szCs w:val="20"/>
        </w:rPr>
      </w:pPr>
    </w:p>
    <w:sectPr w:rsidR="003A6D46" w:rsidRPr="00DE4449" w:rsidSect="00DE444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49"/>
    <w:rsid w:val="003313AF"/>
    <w:rsid w:val="003A6D46"/>
    <w:rsid w:val="00975825"/>
    <w:rsid w:val="00AA1AB5"/>
    <w:rsid w:val="00DE4449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5AAE5-96C5-4D46-BE6E-51DE07F2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0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Sullivan</dc:creator>
  <cp:keywords/>
  <dc:description/>
  <cp:lastModifiedBy>Proestou, Dina - ARS</cp:lastModifiedBy>
  <cp:revision>2</cp:revision>
  <dcterms:created xsi:type="dcterms:W3CDTF">2019-09-17T14:52:00Z</dcterms:created>
  <dcterms:modified xsi:type="dcterms:W3CDTF">2019-09-17T14:52:00Z</dcterms:modified>
</cp:coreProperties>
</file>