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– 4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Resma Sre P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22ISR039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Deploying a sample application using Kubernetes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guide outlines the steps to deploy a sample application using Kubernetes.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covers setting up a Deployment and a Service configuration, applying them with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kubectl, and accessing the deployed application through Minikube. Additionally, 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includes best practices for monitoring, scaling, and troubleshooting Kubernetes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deployments.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Set Up Kubernetes Environment – Install and start Minikube and kubectl.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Create a Deployment – Define a YAML file to manage application pods.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Expose the Application – Configure a Service to enable network access.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Apply Configurations – Use kubectl apply to deploy resources.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Verify Deployment – Check pod status, logs, and resource utilization.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Access the Application – Retrieve the Minikube service URL for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interaction.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Scale the Deployment – Adjust replicas for better availability and load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balancing.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Monitor and Troubleshoot – Use kubectl logs, kubectl describe,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dashboards to resolve issues.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2638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2295" r="29617" t="264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22764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22795" r="25790" t="3643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Deployment text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2381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55435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Expose 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2190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342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419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