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MicroHydroV1 – Tank Ripple Test Procedure</w:t>
      </w:r>
    </w:p>
    <w:p>
      <w:r>
        <w:rPr>
          <w:b/>
        </w:rPr>
        <w:t xml:space="preserve">Document Type: </w:t>
      </w:r>
      <w:r>
        <w:t>Engineering Verification Test</w:t>
      </w:r>
    </w:p>
    <w:p>
      <w:r>
        <w:fldSimple w:instr="TOC \\o &quot;1-3&quot; \\h \\z \\u"/>
      </w:r>
    </w:p>
    <w:p>
      <w:r>
        <w:rPr>
          <w:b/>
        </w:rPr>
        <w:t xml:space="preserve">Test Name: </w:t>
      </w:r>
      <w:r>
        <w:t>Ripple Attenuation Performance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</w:tbl>
    <w:p>
      <w:pPr>
        <w:pStyle w:val="Heading2"/>
      </w:pPr>
      <w:r>
        <w:t>1. Objective</w:t>
      </w:r>
    </w:p>
    <w:p>
      <w:r>
        <w:t>Evaluate the ability of the MicroHydroV1 inlet system to reduce free‑surface ripple amplitude in a controlled water tank environment.</w:t>
      </w:r>
    </w:p>
    <w:p>
      <w:r>
        <w:t>Performance Requirement: Ripple amplitude reduction of −30% to −50% compared to a baseline straight inlet under the same flow conditions.</w:t>
      </w:r>
    </w:p>
    <w:p>
      <w:pPr>
        <w:pStyle w:val="Heading2"/>
      </w:pPr>
      <w:r>
        <w:t>2. Equipment and Materials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 / Notes</w:t>
            </w:r>
          </w:p>
        </w:tc>
      </w:tr>
      <w:tr>
        <w:tc>
          <w:tcPr>
            <w:tcW w:type="dxa" w:w="4320"/>
          </w:tcPr>
          <w:p>
            <w:r>
              <w:t>Water Tank</w:t>
            </w:r>
          </w:p>
        </w:tc>
        <w:tc>
          <w:tcPr>
            <w:tcW w:type="dxa" w:w="4320"/>
          </w:tcPr>
          <w:p>
            <w:r>
              <w:t>Sufficient length to allow inlet‑induced surface disturbance to develop (≥ 1.0 m recommended).</w:t>
            </w:r>
          </w:p>
        </w:tc>
      </w:tr>
      <w:tr>
        <w:tc>
          <w:tcPr>
            <w:tcW w:type="dxa" w:w="4320"/>
          </w:tcPr>
          <w:p>
            <w:r>
              <w:t>MicroHydroV1 Test Article</w:t>
            </w:r>
          </w:p>
        </w:tc>
        <w:tc>
          <w:tcPr>
            <w:tcW w:type="dxa" w:w="4320"/>
          </w:tcPr>
          <w:p>
            <w:r>
              <w:t>Complete inlet assembly mounted per PT mounting sketch.</w:t>
            </w:r>
          </w:p>
        </w:tc>
      </w:tr>
      <w:tr>
        <w:tc>
          <w:tcPr>
            <w:tcW w:type="dxa" w:w="4320"/>
          </w:tcPr>
          <w:p>
            <w:r>
              <w:t>Baseline Straight Inlet</w:t>
            </w:r>
          </w:p>
        </w:tc>
        <w:tc>
          <w:tcPr>
            <w:tcW w:type="dxa" w:w="4320"/>
          </w:tcPr>
          <w:p>
            <w:r>
              <w:t>Same diameter and flow capacity as MicroHydroV1 inlet.</w:t>
            </w:r>
          </w:p>
        </w:tc>
      </w:tr>
      <w:tr>
        <w:tc>
          <w:tcPr>
            <w:tcW w:type="dxa" w:w="4320"/>
          </w:tcPr>
          <w:p>
            <w:r>
              <w:t>Pressure Transducer (PT)</w:t>
            </w:r>
          </w:p>
        </w:tc>
        <w:tc>
          <w:tcPr>
            <w:tcW w:type="dxa" w:w="4320"/>
          </w:tcPr>
          <w:p>
            <w:r>
              <w:t>Mounted per PT mounting sketch; suitable for low‑frequency free‑surface fluctuation measurement.</w:t>
            </w:r>
          </w:p>
        </w:tc>
      </w:tr>
      <w:tr>
        <w:tc>
          <w:tcPr>
            <w:tcW w:type="dxa" w:w="4320"/>
          </w:tcPr>
          <w:p>
            <w:r>
              <w:t>DAQ / Logger</w:t>
            </w:r>
          </w:p>
        </w:tc>
        <w:tc>
          <w:tcPr>
            <w:tcW w:type="dxa" w:w="4320"/>
          </w:tcPr>
          <w:p>
            <w:r>
              <w:t>Minimum sampling frequency: 50–200 Hz. Must support PT calibration constants.</w:t>
            </w:r>
          </w:p>
        </w:tc>
      </w:tr>
      <w:tr>
        <w:tc>
          <w:tcPr>
            <w:tcW w:type="dxa" w:w="4320"/>
          </w:tcPr>
          <w:p>
            <w:r>
              <w:t>Flow Source</w:t>
            </w:r>
          </w:p>
        </w:tc>
        <w:tc>
          <w:tcPr>
            <w:tcW w:type="dxa" w:w="4320"/>
          </w:tcPr>
          <w:p>
            <w:r>
              <w:t>Pump or gravity feed with controllable flow rates.</w:t>
            </w:r>
          </w:p>
        </w:tc>
      </w:tr>
      <w:tr>
        <w:tc>
          <w:tcPr>
            <w:tcW w:type="dxa" w:w="4320"/>
          </w:tcPr>
          <w:p>
            <w:r>
              <w:t>Markers</w:t>
            </w:r>
          </w:p>
        </w:tc>
        <w:tc>
          <w:tcPr>
            <w:tcW w:type="dxa" w:w="4320"/>
          </w:tcPr>
          <w:p>
            <w:r>
              <w:t>Rulers/adhesive markers on tank wall for visual reference.</w:t>
            </w:r>
          </w:p>
        </w:tc>
      </w:tr>
      <w:tr>
        <w:tc>
          <w:tcPr>
            <w:tcW w:type="dxa" w:w="4320"/>
          </w:tcPr>
          <w:p>
            <w:r>
              <w:t>Stopwatch</w:t>
            </w:r>
          </w:p>
        </w:tc>
        <w:tc>
          <w:tcPr>
            <w:tcW w:type="dxa" w:w="4320"/>
          </w:tcPr>
          <w:p>
            <w:r>
              <w:t>Timing steady‑state intervals.</w:t>
            </w:r>
          </w:p>
        </w:tc>
      </w:tr>
      <w:tr>
        <w:tc>
          <w:tcPr>
            <w:tcW w:type="dxa" w:w="4320"/>
          </w:tcPr>
          <w:p>
            <w:r>
              <w:t>Calibration Sheet</w:t>
            </w:r>
          </w:p>
        </w:tc>
        <w:tc>
          <w:tcPr>
            <w:tcW w:type="dxa" w:w="4320"/>
          </w:tcPr>
          <w:p>
            <w:r>
              <w:t>PT calibration constants and zero‑offset reference.</w:t>
            </w:r>
          </w:p>
        </w:tc>
      </w:tr>
    </w:tbl>
    <w:p>
      <w:pPr>
        <w:pStyle w:val="Heading2"/>
      </w:pPr>
      <w:r>
        <w:t>3. Test Setup</w:t>
      </w:r>
    </w:p>
    <w:p>
      <w:pPr>
        <w:pStyle w:val="Heading3"/>
      </w:pPr>
      <w:r>
        <w:t>3.1 Mechanical Setup</w:t>
      </w:r>
    </w:p>
    <w:p>
      <w:pPr>
        <w:pStyle w:val="ListNumber"/>
      </w:pPr>
      <w:r>
        <w:t>Install the MicroHydroV1 inlet in the tank using the designated fixture.</w:t>
      </w:r>
    </w:p>
    <w:p>
      <w:pPr>
        <w:pStyle w:val="ListNumber"/>
      </w:pPr>
      <w:r>
        <w:t>Install the Pressure Transducer (PT) per the PT mounting sketch: diaphragm downward into water; fixed depth 5–20 mm below nominal surface; provide strain relief.</w:t>
      </w:r>
    </w:p>
    <w:p>
      <w:pPr>
        <w:pStyle w:val="ListNumber"/>
      </w:pPr>
      <w:r>
        <w:t>Place visual markers along the tank wall at known heights for optical verification.</w:t>
      </w:r>
    </w:p>
    <w:p>
      <w:pPr>
        <w:pStyle w:val="Heading3"/>
      </w:pPr>
      <w:r>
        <w:t>3.2 Electrical Setup</w:t>
      </w:r>
    </w:p>
    <w:p>
      <w:pPr>
        <w:pStyle w:val="ListNumber"/>
      </w:pPr>
      <w:r>
        <w:t>Connect PT to DAQ/logger using shielded cabling.</w:t>
      </w:r>
    </w:p>
    <w:p>
      <w:pPr>
        <w:pStyle w:val="ListNumber"/>
      </w:pPr>
      <w:r>
        <w:t>Enter PT calibration constants (sensitivity and offset).</w:t>
      </w:r>
    </w:p>
    <w:p>
      <w:pPr>
        <w:pStyle w:val="ListNumber"/>
      </w:pPr>
      <w:r>
        <w:t>Verify grounding to minimize noise.</w:t>
      </w:r>
    </w:p>
    <w:p>
      <w:pPr>
        <w:pStyle w:val="Heading3"/>
      </w:pPr>
      <w:r>
        <w:t>3.3 Baseline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Water depth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Flow rate range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Ambient lighting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</w:tbl>
    <w:p>
      <w:pPr>
        <w:pStyle w:val="Heading2"/>
      </w:pPr>
      <w:r>
        <w:t>4. Test Procedure (Step-by-Step)</w:t>
      </w:r>
    </w:p>
    <w:p>
      <w:pPr>
        <w:pStyle w:val="Heading3"/>
      </w:pPr>
      <w:r>
        <w:t>4.1 Pre‑Test Checks</w:t>
      </w:r>
    </w:p>
    <w:p>
      <w:pPr>
        <w:pStyle w:val="ListNumber"/>
      </w:pPr>
      <w:r>
        <w:t>Confirm tank is filled to nominal depth.</w:t>
      </w:r>
    </w:p>
    <w:p>
      <w:pPr>
        <w:pStyle w:val="ListNumber"/>
      </w:pPr>
      <w:r>
        <w:t>Verify PT zero reading out of water.</w:t>
      </w:r>
    </w:p>
    <w:p>
      <w:pPr>
        <w:pStyle w:val="ListNumber"/>
      </w:pPr>
      <w:r>
        <w:t>Submerge PT to test depth; confirm stable reading.</w:t>
      </w:r>
    </w:p>
    <w:p>
      <w:pPr>
        <w:pStyle w:val="ListNumber"/>
      </w:pPr>
      <w:r>
        <w:t>Verify DAQ is recording at chosen sampling rate.</w:t>
      </w:r>
    </w:p>
    <w:p>
      <w:pPr>
        <w:pStyle w:val="Heading3"/>
      </w:pPr>
      <w:r>
        <w:t>4.2 Baseline Straight Inlet Test</w:t>
      </w:r>
    </w:p>
    <w:p>
      <w:pPr>
        <w:pStyle w:val="ListNumber"/>
      </w:pPr>
      <w:r>
        <w:t>Install the straight inlet.</w:t>
      </w:r>
    </w:p>
    <w:p>
      <w:pPr>
        <w:pStyle w:val="ListNumber"/>
      </w:pPr>
      <w:r>
        <w:t>Set flow source to Flow Rate 1 and allow 30–60 s to stabilize.</w:t>
      </w:r>
    </w:p>
    <w:p>
      <w:pPr>
        <w:pStyle w:val="ListNumber"/>
      </w:pPr>
      <w:r>
        <w:t>Record ≥ 20 s of PT data.</w:t>
      </w:r>
    </w:p>
    <w:p>
      <w:pPr>
        <w:pStyle w:val="ListNumber"/>
      </w:pPr>
      <w:r>
        <w:t>Repeat for all planned flow rates (FR1…FRn).</w:t>
      </w:r>
    </w:p>
    <w:p>
      <w:pPr>
        <w:pStyle w:val="ListNumber"/>
      </w:pPr>
      <w:r>
        <w:t>Save files as: Baseline_FR1, Baseline_FR2, …</w:t>
      </w:r>
    </w:p>
    <w:p>
      <w:pPr>
        <w:pStyle w:val="Heading3"/>
      </w:pPr>
      <w:r>
        <w:t>4.3 MicroHydroV1 Ripple Test</w:t>
      </w:r>
    </w:p>
    <w:p>
      <w:pPr>
        <w:pStyle w:val="ListNumber"/>
      </w:pPr>
      <w:r>
        <w:t>Replace straight inlet with MicroHydroV1 inlet assembly.</w:t>
      </w:r>
    </w:p>
    <w:p>
      <w:pPr>
        <w:pStyle w:val="ListNumber"/>
      </w:pPr>
      <w:r>
        <w:t>Repeat Section 4.2 for identical flow rates.</w:t>
      </w:r>
    </w:p>
    <w:p>
      <w:pPr>
        <w:pStyle w:val="ListNumber"/>
      </w:pPr>
      <w:r>
        <w:t>Save files as: MHV1_FR1, MHV1_FR2, …</w:t>
      </w:r>
    </w:p>
    <w:p>
      <w:pPr>
        <w:pStyle w:val="Heading3"/>
      </w:pPr>
      <w:r>
        <w:t>4.4 Optional Visual Observation</w:t>
      </w:r>
    </w:p>
    <w:p>
      <w:pPr>
        <w:pStyle w:val="ListNumber"/>
      </w:pPr>
      <w:r>
        <w:t>Place camera orthogonal to tank wall markers.</w:t>
      </w:r>
    </w:p>
    <w:p>
      <w:pPr>
        <w:pStyle w:val="ListNumber"/>
      </w:pPr>
      <w:r>
        <w:t>Record 10–20 s of footage per flow rate.</w:t>
      </w:r>
    </w:p>
    <w:p>
      <w:pPr>
        <w:pStyle w:val="ListNumber"/>
      </w:pPr>
      <w:r>
        <w:t>Note any vortexing, sloshing, or asymmetric disturbances.</w:t>
      </w:r>
    </w:p>
    <w:p>
      <w:pPr>
        <w:pStyle w:val="Heading3"/>
      </w:pPr>
      <w:r>
        <w:t>4.5 Post‑Test Tasks</w:t>
      </w:r>
    </w:p>
    <w:p>
      <w:pPr>
        <w:pStyle w:val="ListNumber"/>
      </w:pPr>
      <w:r>
        <w:t>Perform PT zero‑check again to detect drift.</w:t>
      </w:r>
    </w:p>
    <w:p>
      <w:pPr>
        <w:pStyle w:val="ListNumber"/>
      </w:pPr>
      <w:r>
        <w:t>Back up all datasets to repository.</w:t>
      </w:r>
    </w:p>
    <w:p>
      <w:pPr>
        <w:pStyle w:val="ListNumber"/>
      </w:pPr>
      <w:r>
        <w:t>Drain or secure test facility.</w:t>
      </w:r>
    </w:p>
    <w:p>
      <w:pPr>
        <w:pStyle w:val="Heading2"/>
      </w:pPr>
      <w:r>
        <w:t>5. Data Intake Fields</w:t>
      </w:r>
    </w:p>
    <w:p>
      <w:pPr>
        <w:pStyle w:val="Heading3"/>
      </w:pPr>
      <w:r>
        <w:t>5.1 Test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operator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Test article version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PT serial number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DAQ sampling rate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Water depth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</w:tbl>
    <w:p>
      <w:pPr>
        <w:pStyle w:val="Heading3"/>
      </w:pPr>
      <w:r>
        <w:t>5.2 Flow Conditions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Flow Rate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Flow (L/min)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Actual Flow (L/min)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FR1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FR2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FR3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5.3 PT Data Files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Duration (s)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2160"/>
          </w:tcPr>
          <w:p>
            <w:r>
              <w:t>Baseline FR1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Baseline FR2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MHV1 FR1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MHV1 FR2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5.4 Derived Values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MicroHydroV1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Change</w:t>
            </w:r>
          </w:p>
        </w:tc>
      </w:tr>
      <w:tr>
        <w:tc>
          <w:tcPr>
            <w:tcW w:type="dxa" w:w="2160"/>
          </w:tcPr>
          <w:p>
            <w:r>
              <w:t>RMS Ripple Amplitude (Pa or mm)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Peak‑to‑Peak Ripple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Dominant Frequency (Hz)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Percentage Ripple Reduction Formula: %Reduction = (Ripple_baseline − Ripple_MHV1) / Ripple_baseline × 100%</w:t>
      </w:r>
    </w:p>
    <w:p>
      <w:pPr>
        <w:pStyle w:val="Heading2"/>
      </w:pPr>
      <w:r>
        <w:t>6. Acceptance Criteria</w:t>
      </w:r>
    </w:p>
    <w:p>
      <w:r>
        <w:t>Pass / Fail Requirements: For every tested flow rate, MicroHydroV1 must achieve 30% to 50% reduction in RMS ripple amplitude relative to baseline.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Additional Observations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Vortex formation</w:t>
            </w:r>
          </w:p>
        </w:tc>
        <w:tc>
          <w:tcPr>
            <w:tcW w:type="dxa" w:w="4320"/>
          </w:tcPr>
          <w:p>
            <w:r>
              <w:t>Not allowed</w:t>
            </w:r>
          </w:p>
        </w:tc>
      </w:tr>
      <w:tr>
        <w:tc>
          <w:tcPr>
            <w:tcW w:type="dxa" w:w="4320"/>
          </w:tcPr>
          <w:p>
            <w:r>
              <w:t>Asymmetric oscillations</w:t>
            </w:r>
          </w:p>
        </w:tc>
        <w:tc>
          <w:tcPr>
            <w:tcW w:type="dxa" w:w="4320"/>
          </w:tcPr>
          <w:p>
            <w:r>
              <w:t>Not allowed</w:t>
            </w:r>
          </w:p>
        </w:tc>
      </w:tr>
      <w:tr>
        <w:tc>
          <w:tcPr>
            <w:tcW w:type="dxa" w:w="4320"/>
          </w:tcPr>
          <w:p>
            <w:r>
              <w:t>Sudden pressure spikes</w:t>
            </w:r>
          </w:p>
        </w:tc>
        <w:tc>
          <w:tcPr>
            <w:tcW w:type="dxa" w:w="4320"/>
          </w:tcPr>
          <w:p>
            <w:r>
              <w:t>≤ 10% of mean</w:t>
            </w:r>
          </w:p>
        </w:tc>
      </w:tr>
    </w:tbl>
    <w:p>
      <w:pPr>
        <w:pStyle w:val="Heading2"/>
      </w:pPr>
      <w:r>
        <w:t>7. How to Interpret Results</w:t>
      </w:r>
    </w:p>
    <w:p>
      <w:pPr>
        <w:pStyle w:val="ListBullet"/>
      </w:pPr>
      <w:r>
        <w:t>Verify data quality: check for drift, spikes, and consistent noise floor. Apply low‑pass filtering (10–20 Hz) if necessary and documented.</w:t>
      </w:r>
    </w:p>
    <w:p>
      <w:pPr>
        <w:pStyle w:val="ListBullet"/>
      </w:pPr>
      <w:r>
        <w:t>Extract metrics: RMS ripple amplitude (primary), Peak‑to‑Peak amplitude (worst‑case), Dominant frequency (stability indicator).</w:t>
      </w:r>
    </w:p>
    <w:p>
      <w:pPr>
        <w:pStyle w:val="ListBullet"/>
      </w:pPr>
      <w:r>
        <w:t>Compute %Reduction = (Baseline − MHV1) / Baseline × 100%. Positive values indicate improvement; negative values indicate degradation.</w:t>
      </w:r>
    </w:p>
    <w:p>
      <w:pPr>
        <w:pStyle w:val="ListBullet"/>
      </w:pPr>
      <w:r>
        <w:t>Compare against acceptance criteria: 30%–50% reduction is PASS. &lt;30% or &gt;50% is FAIL (investigate under‑ or over‑damping).</w:t>
      </w:r>
    </w:p>
    <w:p>
      <w:pPr>
        <w:pStyle w:val="ListBullet"/>
      </w:pPr>
      <w:r>
        <w:t>Assess qualitative indicators: no vortexing, no asymmetric oscillations, no spikes &gt;10% of mean, stable dominant frequency.</w:t>
      </w:r>
    </w:p>
    <w:p>
      <w:pPr>
        <w:pStyle w:val="ListBullet"/>
      </w:pPr>
      <w:r>
        <w:t>Evaluate across flow rates: MicroHydroV1 must pass at each tested flow condition.</w:t>
      </w:r>
    </w:p>
    <w:p>
      <w:pPr>
        <w:pStyle w:val="Heading2"/>
      </w:pPr>
      <w:r>
        <w:t>8. Examples of Result Interpretations</w:t>
      </w:r>
    </w:p>
    <w:p>
      <w:r>
        <w:rPr>
          <w:b/>
        </w:rPr>
        <w:t>PASS (Within Target)</w:t>
      </w:r>
    </w:p>
    <w:p>
      <w:r>
        <w:t>Baseline RMS 12.4 mm; MHV1 RMS 7.1 mm → 42.7% reduction. No vortexing; stable 1.8 Hz dominant frequency. PASS.</w:t>
      </w:r>
    </w:p>
    <w:p>
      <w:r>
        <w:rPr>
          <w:b/>
        </w:rPr>
        <w:t>FAIL (Insufficient Reduction)</w:t>
      </w:r>
    </w:p>
    <w:p>
      <w:r>
        <w:t>Baseline RMS 9.8 mm; MHV1 RMS 8.9 mm → 9.2% reduction. Asymmetric sloshing and spikes observed. FAIL; check alignment and pump transients.</w:t>
      </w:r>
    </w:p>
    <w:p>
      <w:r>
        <w:rPr>
          <w:b/>
        </w:rPr>
        <w:t>FAIL (Over‑Reduction)</w:t>
      </w:r>
    </w:p>
    <w:p>
      <w:r>
        <w:t>Baseline RMS 10.2 mm; MHV1 RMS 3.8 mm → 62.7% reduction (&gt;50%). Possible flow choking or PT depth error. FAIL.</w:t>
      </w:r>
    </w:p>
    <w:p>
      <w:r>
        <w:rPr>
          <w:b/>
        </w:rPr>
        <w:t>FAIL (Worse Than Baseline)</w:t>
      </w:r>
    </w:p>
    <w:p>
      <w:r>
        <w:t>Baseline RMS 6.4 mm; MHV1 RMS 7.2 mm → −12.5% (degradation). Vortex observed; redesign or setup correction required.</w:t>
      </w:r>
    </w:p>
    <w:p>
      <w:r>
        <w:rPr>
          <w:b/>
        </w:rPr>
        <w:t>Borderline – Engineering Judgment</w:t>
      </w:r>
    </w:p>
    <w:p>
      <w:r>
        <w:t>Baseline RMS 14.0 mm; MHV1 RMS 10.1 mm → 27.8% (below 30%). Stable behavior; repeat run to confirm before concluding FAIL.</w:t>
      </w:r>
    </w:p>
    <w:p>
      <w:pPr>
        <w:pStyle w:val="Heading2"/>
      </w:pPr>
      <w:r>
        <w:t>9. Glossary of Terms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Baseline Inlet (Straight Inlet)</w:t>
            </w:r>
          </w:p>
        </w:tc>
        <w:tc>
          <w:tcPr>
            <w:tcW w:type="dxa" w:w="4320"/>
          </w:tcPr>
          <w:p>
            <w:r>
              <w:t>Reference tube geometry establishing uncontrolled ripple condition.</w:t>
            </w:r>
          </w:p>
        </w:tc>
      </w:tr>
      <w:tr>
        <w:tc>
          <w:tcPr>
            <w:tcW w:type="dxa" w:w="4320"/>
          </w:tcPr>
          <w:p>
            <w:r>
              <w:t>DAQ (Data Acquisition System)</w:t>
            </w:r>
          </w:p>
        </w:tc>
        <w:tc>
          <w:tcPr>
            <w:tcW w:type="dxa" w:w="4320"/>
          </w:tcPr>
          <w:p>
            <w:r>
              <w:t>Hardware that samples/logs sensor outputs (50–200 Hz sampling for this test).</w:t>
            </w:r>
          </w:p>
        </w:tc>
      </w:tr>
      <w:tr>
        <w:tc>
          <w:tcPr>
            <w:tcW w:type="dxa" w:w="4320"/>
          </w:tcPr>
          <w:p>
            <w:r>
              <w:t>Dominant Frequency</w:t>
            </w:r>
          </w:p>
        </w:tc>
        <w:tc>
          <w:tcPr>
            <w:tcW w:type="dxa" w:w="4320"/>
          </w:tcPr>
          <w:p>
            <w:r>
              <w:t>Main oscillation frequency in the ripple spectrum.</w:t>
            </w:r>
          </w:p>
        </w:tc>
      </w:tr>
      <w:tr>
        <w:tc>
          <w:tcPr>
            <w:tcW w:type="dxa" w:w="4320"/>
          </w:tcPr>
          <w:p>
            <w:r>
              <w:t>Flow Rate</w:t>
            </w:r>
          </w:p>
        </w:tc>
        <w:tc>
          <w:tcPr>
            <w:tcW w:type="dxa" w:w="4320"/>
          </w:tcPr>
          <w:p>
            <w:r>
              <w:t>Volumetric inflow to the tank (L/min), held constant between comparisons.</w:t>
            </w:r>
          </w:p>
        </w:tc>
      </w:tr>
      <w:tr>
        <w:tc>
          <w:tcPr>
            <w:tcW w:type="dxa" w:w="4320"/>
          </w:tcPr>
          <w:p>
            <w:r>
              <w:t>Free‑Surface Ripple</w:t>
            </w:r>
          </w:p>
        </w:tc>
        <w:tc>
          <w:tcPr>
            <w:tcW w:type="dxa" w:w="4320"/>
          </w:tcPr>
          <w:p>
            <w:r>
              <w:t>Surface undulations induced by inlet disturbances/turbulence.</w:t>
            </w:r>
          </w:p>
        </w:tc>
      </w:tr>
      <w:tr>
        <w:tc>
          <w:tcPr>
            <w:tcW w:type="dxa" w:w="4320"/>
          </w:tcPr>
          <w:p>
            <w:r>
              <w:t>MicroHydroV1 Inlet</w:t>
            </w:r>
          </w:p>
        </w:tc>
        <w:tc>
          <w:tcPr>
            <w:tcW w:type="dxa" w:w="4320"/>
          </w:tcPr>
          <w:p>
            <w:r>
              <w:t>Test article designed to reduce ripple amplitude.</w:t>
            </w:r>
          </w:p>
        </w:tc>
      </w:tr>
      <w:tr>
        <w:tc>
          <w:tcPr>
            <w:tcW w:type="dxa" w:w="4320"/>
          </w:tcPr>
          <w:p>
            <w:r>
              <w:t>Peak‑to‑Peak (P‑P) Amplitude</w:t>
            </w:r>
          </w:p>
        </w:tc>
        <w:tc>
          <w:tcPr>
            <w:tcW w:type="dxa" w:w="4320"/>
          </w:tcPr>
          <w:p>
            <w:r>
              <w:t>Max minus min within a time window.</w:t>
            </w:r>
          </w:p>
        </w:tc>
      </w:tr>
      <w:tr>
        <w:tc>
          <w:tcPr>
            <w:tcW w:type="dxa" w:w="4320"/>
          </w:tcPr>
          <w:p>
            <w:r>
              <w:t>Pressure Transducer (PT)</w:t>
            </w:r>
          </w:p>
        </w:tc>
        <w:tc>
          <w:tcPr>
            <w:tcW w:type="dxa" w:w="4320"/>
          </w:tcPr>
          <w:p>
            <w:r>
              <w:t>Sensor converting pressure fluctuations to electrical signal.</w:t>
            </w:r>
          </w:p>
        </w:tc>
      </w:tr>
      <w:tr>
        <w:tc>
          <w:tcPr>
            <w:tcW w:type="dxa" w:w="4320"/>
          </w:tcPr>
          <w:p>
            <w:r>
              <w:t>PT Calibration Constants</w:t>
            </w:r>
          </w:p>
        </w:tc>
        <w:tc>
          <w:tcPr>
            <w:tcW w:type="dxa" w:w="4320"/>
          </w:tcPr>
          <w:p>
            <w:r>
              <w:t>Sensitivity and offset used to convert voltage to pressure units.</w:t>
            </w:r>
          </w:p>
        </w:tc>
      </w:tr>
      <w:tr>
        <w:tc>
          <w:tcPr>
            <w:tcW w:type="dxa" w:w="4320"/>
          </w:tcPr>
          <w:p>
            <w:r>
              <w:t>Ripple Amplitude (RMS)</w:t>
            </w:r>
          </w:p>
        </w:tc>
        <w:tc>
          <w:tcPr>
            <w:tcW w:type="dxa" w:w="4320"/>
          </w:tcPr>
          <w:p>
            <w:r>
              <w:t>Root‑mean‑square pressure fluctuation magnitude.</w:t>
            </w:r>
          </w:p>
        </w:tc>
      </w:tr>
      <w:tr>
        <w:tc>
          <w:tcPr>
            <w:tcW w:type="dxa" w:w="4320"/>
          </w:tcPr>
          <w:p>
            <w:r>
              <w:t>Ripple Reduction Percentage</w:t>
            </w:r>
          </w:p>
        </w:tc>
        <w:tc>
          <w:tcPr>
            <w:tcW w:type="dxa" w:w="4320"/>
          </w:tcPr>
          <w:p>
            <w:r>
              <w:t>(Baseline − MHV1)/Baseline × 100%.</w:t>
            </w:r>
          </w:p>
        </w:tc>
      </w:tr>
      <w:tr>
        <w:tc>
          <w:tcPr>
            <w:tcW w:type="dxa" w:w="4320"/>
          </w:tcPr>
          <w:p>
            <w:r>
              <w:t>Steady‑State Condition</w:t>
            </w:r>
          </w:p>
        </w:tc>
        <w:tc>
          <w:tcPr>
            <w:tcW w:type="dxa" w:w="4320"/>
          </w:tcPr>
          <w:p>
            <w:r>
              <w:t>Period after a change when flow and ripple are consistent.</w:t>
            </w:r>
          </w:p>
        </w:tc>
      </w:tr>
      <w:tr>
        <w:tc>
          <w:tcPr>
            <w:tcW w:type="dxa" w:w="4320"/>
          </w:tcPr>
          <w:p>
            <w:r>
              <w:t>Vortex Formation</w:t>
            </w:r>
          </w:p>
        </w:tc>
        <w:tc>
          <w:tcPr>
            <w:tcW w:type="dxa" w:w="4320"/>
          </w:tcPr>
          <w:p>
            <w:r>
              <w:t>Undesirable swirling flow increasing disturbance.</w:t>
            </w:r>
          </w:p>
        </w:tc>
      </w:tr>
    </w:tbl>
    <w:p>
      <w:pPr>
        <w:pStyle w:val="Heading2"/>
      </w:pPr>
      <w:r>
        <w:t>10. Results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Flow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Reduction Achieved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Pass/Fail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FR1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FR2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FR3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11. Signoff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__________________   Date: __________</w:t>
            </w:r>
          </w:p>
        </w:tc>
      </w:tr>
      <w:tr>
        <w:tc>
          <w:tcPr>
            <w:tcW w:type="dxa" w:w="4320"/>
          </w:tcPr>
          <w:p>
            <w:r>
              <w:t>Engineering Reviewer</w:t>
            </w:r>
          </w:p>
        </w:tc>
        <w:tc>
          <w:tcPr>
            <w:tcW w:type="dxa" w:w="4320"/>
          </w:tcPr>
          <w:p>
            <w:r>
              <w:t>__________________   Date: __________</w:t>
            </w:r>
          </w:p>
        </w:tc>
      </w:tr>
    </w:tbl>
    <w:p>
      <w:pPr>
        <w:pStyle w:val="Heading2"/>
      </w:pPr>
      <w:r>
        <w:t>Appendix A – Visual Examples of Waveforms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28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form_pa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A1. PASS case: MicroHydroV1 ~40–45% reduction vs Baseline; similar dominant frequency; visibly lower amplitude.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288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form_overdamp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A2. Over‑damped case (&gt;50% reduction): unusually flat waveform and frequency shift. Investigate choking/PT depth.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28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form_wor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A3. Worse‑than‑baseline case: higher amplitude and irregular peaks; likely vortexing or setup issue.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