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Go/No-Go Packet (ASAP Draft)</w:t>
      </w:r>
    </w:p>
    <w:p>
      <w:r>
        <w:rPr>
          <w:b/>
        </w:rPr>
        <w:t xml:space="preserve">Executive Summary: </w:t>
      </w:r>
      <w:r>
        <w:t>This packet aggregates Stage B (bench) and Stage C (electrical/power) evidence for an expedited Go decision. Baseline tests are green per current samples; Stage B matrix and Stage C broadening are planned in the attached timeline.</w:t>
      </w:r>
    </w:p>
    <w:p>
      <w:pPr>
        <w:pStyle w:val="Heading1"/>
      </w:pPr>
      <w:r>
        <w:t>1. Acceptance Criteria (Quick Reference)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 (to-date)</w:t>
            </w:r>
          </w:p>
        </w:tc>
      </w:tr>
      <w:tr>
        <w:tc>
          <w:tcPr>
            <w:tcW w:type="dxa" w:w="2880"/>
          </w:tcPr>
          <w:p>
            <w:r>
              <w:t>T‑001 Jet Coherence</w:t>
            </w:r>
          </w:p>
        </w:tc>
        <w:tc>
          <w:tcPr>
            <w:tcW w:type="dxa" w:w="2880"/>
          </w:tcPr>
          <w:p>
            <w:r>
              <w:t>Coherence ≥ 0.90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  <w:tr>
        <w:tc>
          <w:tcPr>
            <w:tcW w:type="dxa" w:w="2880"/>
          </w:tcPr>
          <w:p>
            <w:r>
              <w:t>T‑002 Tank Ripple</w:t>
            </w:r>
          </w:p>
        </w:tc>
        <w:tc>
          <w:tcPr>
            <w:tcW w:type="dxa" w:w="2880"/>
          </w:tcPr>
          <w:p>
            <w:r>
              <w:t>−30–50% vs straight inlet; no entrainment increase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  <w:tr>
        <w:tc>
          <w:tcPr>
            <w:tcW w:type="dxa" w:w="2880"/>
          </w:tcPr>
          <w:p>
            <w:r>
              <w:t>T‑003 Electrical Stability</w:t>
            </w:r>
          </w:p>
        </w:tc>
        <w:tc>
          <w:tcPr>
            <w:tcW w:type="dxa" w:w="2880"/>
          </w:tcPr>
          <w:p>
            <w:r>
              <w:t>Drift ≤ 0.1 Hz; no hunting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  <w:tr>
        <w:tc>
          <w:tcPr>
            <w:tcW w:type="dxa" w:w="2880"/>
          </w:tcPr>
          <w:p>
            <w:r>
              <w:t>T‑004 Power Output</w:t>
            </w:r>
          </w:p>
        </w:tc>
        <w:tc>
          <w:tcPr>
            <w:tcW w:type="dxa" w:w="2880"/>
          </w:tcPr>
          <w:p>
            <w:r>
              <w:t>10–12 kW band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</w:tbl>
    <w:p>
      <w:pPr>
        <w:pStyle w:val="Heading1"/>
      </w:pPr>
      <w:r>
        <w:t>2. Evidence Links &amp; Plots</w:t>
      </w:r>
    </w:p>
    <w:p>
      <w:r>
        <w:t>• Bench: ΔP–Q sweeps by vane angle &amp; head — attach plots from RnD workbook/dashboard and intake CSVs</w:t>
      </w:r>
    </w:p>
    <w:p>
      <w:r>
        <w:t>• T‑001: Coherence vs time (plots &amp; raw) — attach plots from RnD workbook/dashboard and intake CSVs</w:t>
      </w:r>
    </w:p>
    <w:p>
      <w:r>
        <w:t>• T‑002: Ripple reduction with baselines — attach plots from RnD workbook/dashboard and intake CSVs</w:t>
      </w:r>
    </w:p>
    <w:p>
      <w:r>
        <w:t>• T‑003: Drift histograms &amp; time series — attach plots from RnD workbook/dashboard and intake CSVs</w:t>
      </w:r>
    </w:p>
    <w:p>
      <w:r>
        <w:t>• T‑004: Power vs time (10–12 kW band) — attach plots from RnD workbook/dashboard and intake CSVs</w:t>
      </w:r>
    </w:p>
    <w:p>
      <w:pPr>
        <w:pStyle w:val="Heading1"/>
      </w:pPr>
      <w:r>
        <w:t>3. Risk Register Snapshot &amp;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</w:tr>
      <w:tr>
        <w:tc>
          <w:tcPr>
            <w:tcW w:type="dxa" w:w="1728"/>
          </w:tcPr>
          <w:p>
            <w:r>
              <w:t>Clogging at nozzle throat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Debris screen; clean per run</w:t>
            </w:r>
          </w:p>
        </w:tc>
        <w:tc>
          <w:tcPr>
            <w:tcW w:type="dxa" w:w="1728"/>
          </w:tcPr>
          <w:p>
            <w:r>
              <w:t>Rising ΔP at constant Q</w:t>
            </w:r>
          </w:p>
        </w:tc>
      </w:tr>
      <w:tr>
        <w:tc>
          <w:tcPr>
            <w:tcW w:type="dxa" w:w="1728"/>
          </w:tcPr>
          <w:p>
            <w:r>
              <w:t>Cavitation at high Q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Maintain NPSHa ≥ 1 m; round edges</w:t>
            </w:r>
          </w:p>
        </w:tc>
        <w:tc>
          <w:tcPr>
            <w:tcW w:type="dxa" w:w="1728"/>
          </w:tcPr>
          <w:p>
            <w:r>
              <w:t>Noise/vibration onset</w:t>
            </w:r>
          </w:p>
        </w:tc>
      </w:tr>
      <w:tr>
        <w:tc>
          <w:tcPr>
            <w:tcW w:type="dxa" w:w="1728"/>
          </w:tcPr>
          <w:p>
            <w:r>
              <w:t>Leak at seals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O‑ring compression; grease</w:t>
            </w:r>
          </w:p>
        </w:tc>
        <w:tc>
          <w:tcPr>
            <w:tcW w:type="dxa" w:w="1728"/>
          </w:tcPr>
          <w:p>
            <w:r>
              <w:t>Visible drips</w:t>
            </w:r>
          </w:p>
        </w:tc>
      </w:tr>
      <w:tr>
        <w:tc>
          <w:tcPr>
            <w:tcW w:type="dxa" w:w="1728"/>
          </w:tcPr>
          <w:p>
            <w:r>
              <w:t>Instrumentation drift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Zero transducers; two‑point check</w:t>
            </w:r>
          </w:p>
        </w:tc>
        <w:tc>
          <w:tcPr>
            <w:tcW w:type="dxa" w:w="1728"/>
          </w:tcPr>
          <w:p>
            <w:r>
              <w:t>Baseline shift</w:t>
            </w:r>
          </w:p>
        </w:tc>
      </w:tr>
    </w:tbl>
    <w:p>
      <w:pPr>
        <w:pStyle w:val="Heading1"/>
      </w:pPr>
      <w:r>
        <w:t>4. STW Decisions (Admit/Hold)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Evidence Link</w:t>
            </w:r>
          </w:p>
        </w:tc>
      </w:tr>
      <w:tr>
        <w:tc>
          <w:tcPr>
            <w:tcW w:type="dxa" w:w="2880"/>
          </w:tcPr>
          <w:p>
            <w:r>
              <w:t>Hyperbolic Tank Inlet (diffuser)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Link to ΔP–Q &amp; ripple results</w:t>
            </w:r>
          </w:p>
        </w:tc>
      </w:tr>
      <w:tr>
        <w:tc>
          <w:tcPr>
            <w:tcW w:type="dxa" w:w="2880"/>
          </w:tcPr>
          <w:p>
            <w:r>
              <w:t>9 mm pre‑swirl nozzle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Link to ΔP–Q &amp; coherence results</w:t>
            </w:r>
          </w:p>
        </w:tc>
      </w:tr>
      <w:tr>
        <w:tc>
          <w:tcPr>
            <w:tcW w:type="dxa" w:w="2880"/>
          </w:tcPr>
          <w:p>
            <w:r>
              <w:t>DN125 penstock baseline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Bench config + stability notes</w:t>
            </w:r>
          </w:p>
        </w:tc>
      </w:tr>
      <w:tr>
        <w:tc>
          <w:tcPr>
            <w:tcW w:type="dxa" w:w="2880"/>
          </w:tcPr>
          <w:p>
            <w:r>
              <w:t>Conventional narrow ELC window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ELC drift plots</w:t>
            </w:r>
          </w:p>
        </w:tc>
      </w:tr>
      <w:tr>
        <w:tc>
          <w:tcPr>
            <w:tcW w:type="dxa" w:w="2880"/>
          </w:tcPr>
          <w:p>
            <w:r>
              <w:t>φ‑segmented penstocks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TBD: extended stability</w:t>
            </w:r>
          </w:p>
        </w:tc>
      </w:tr>
      <w:tr>
        <w:tc>
          <w:tcPr>
            <w:tcW w:type="dxa" w:w="2880"/>
          </w:tcPr>
          <w:p>
            <w:r>
              <w:t>φ‑ELC windows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TBD: hunting risk downselect</w:t>
            </w:r>
          </w:p>
        </w:tc>
      </w:tr>
      <w:tr>
        <w:tc>
          <w:tcPr>
            <w:tcW w:type="dxa" w:w="2880"/>
          </w:tcPr>
          <w:p>
            <w:r>
              <w:t>Hydram φ‑timing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TBD: flow ≥ +5% evidence</w:t>
            </w:r>
          </w:p>
        </w:tc>
      </w:tr>
    </w:tbl>
    <w:p>
      <w:pPr>
        <w:pStyle w:val="Heading1"/>
      </w:pPr>
      <w:r>
        <w:t>5. Decision</w:t>
      </w:r>
    </w:p>
    <w:p>
      <w:r>
        <w:rPr>
          <w:b/>
        </w:rPr>
        <w:t xml:space="preserve">Recommendation: </w:t>
      </w:r>
      <w:r>
        <w:t>Provisional GO contingent on closing Stage B matrix and Stage C broadened stability. Final GO on completion of Week‑1/2/3 deliverables in the timeline.</w:t>
      </w:r>
    </w:p>
    <w:p>
      <w:pPr>
        <w:pStyle w:val="Heading1"/>
      </w:pPr>
      <w:r>
        <w:t>6. Timeline (ASAP)</w:t>
      </w:r>
    </w:p>
    <w:p>
      <w:r>
        <w:t>See attached Excel: MicroHydroV1_ASAP_Timeline.xlsx</w:t>
      </w:r>
    </w:p>
    <w:p>
      <w:r>
        <w:br w:type="page"/>
      </w:r>
    </w:p>
    <w:p>
      <w:pPr>
        <w:pStyle w:val="Heading1"/>
      </w:pPr>
      <w:r>
        <w:t>Appendix — Auto‑Generated Plots</w:t>
      </w:r>
    </w:p>
    <w:p>
      <w:pPr>
        <w:pStyle w:val="Heading2"/>
      </w:pPr>
      <w:r>
        <w:t>T‑001 — Jet Coherence vs Time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1_Coherence_vs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T‑002 — Tank Ripple vs Time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2_Ripple_vs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T‑003 — ELC Drift vs Time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3_Drift_vs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T‑004 — Power Output vs Time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4_Power_vs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ΔP–Q by Vane Angle &amp; Head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B_DeltaP_vs_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