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MicroHydroV1 — Test Campaign Plan</w:t>
      </w:r>
    </w:p>
    <w:p>
      <w:r>
        <w:t>Generated: 2026-01-21 10:58 UTC</w:t>
      </w:r>
    </w:p>
    <w:p>
      <w:pPr>
        <w:pStyle w:val="Heading1"/>
      </w:pPr>
      <w:r>
        <w:t>1. Scope &amp; Objectives</w:t>
      </w:r>
    </w:p>
    <w:p>
      <w:r>
        <w:t>Validate vNext design choices (Admit items) via T‑001 Jet Coherence and T‑002 Tank Ripple; expand to T‑003+ as needed.</w:t>
      </w:r>
    </w:p>
    <w:p>
      <w:pPr>
        <w:pStyle w:val="Heading1"/>
      </w:pPr>
      <w:r>
        <w:t>2. Acceptance Criteria</w:t>
      </w:r>
    </w:p>
    <w:p>
      <w:pPr>
        <w:pStyle w:val="ListBullet"/>
      </w:pPr>
      <w:r>
        <w:t>T‑001: Coherence ≥ 0.90</w:t>
      </w:r>
    </w:p>
    <w:p>
      <w:pPr>
        <w:pStyle w:val="ListBullet"/>
      </w:pPr>
      <w:r>
        <w:t>T‑002: Ripple ≤ Baseline × 0.70 (≥30% reduction), no entrainment increase</w:t>
      </w:r>
    </w:p>
    <w:p>
      <w:pPr>
        <w:pStyle w:val="Heading1"/>
      </w:pPr>
      <w:r>
        <w:t>3. Test Matrix</w:t>
      </w:r>
    </w:p>
    <w:p>
      <w:r>
        <w:t>Test_ID | Objective | Setup | Instruments | Inputs/Parameters | Data | Pass/Fail</w:t>
      </w:r>
    </w:p>
    <w:p>
      <w:r>
        <w:t>T‑001 | Jet coherence | Bench + imaging config | Camera + lighting | Operating head, nozzle | Coherence metric | ≥ 0.90</w:t>
      </w:r>
    </w:p>
    <w:p>
      <w:r>
        <w:t>T‑002 | Ripple reduction | Tank + PT mounting | PT + DAQ | Flow, head, baseline | Ripple amplitude | ≤ 0.70×Baseline</w:t>
      </w:r>
    </w:p>
    <w:p>
      <w:pPr>
        <w:pStyle w:val="Heading1"/>
      </w:pPr>
      <w:r>
        <w:t>4. Data Handling</w:t>
      </w:r>
    </w:p>
    <w:p>
      <w:r>
        <w:t>Use Results_Intake_Template.xlsx → import_measurements.py → MicroHydroV1_RnD_Export.xlsx (Measurements, Dashboard, Trends).</w:t>
      </w:r>
    </w:p>
    <w:p>
      <w:pPr>
        <w:pStyle w:val="Heading1"/>
      </w:pPr>
      <w:r>
        <w:t>5. Reporting</w:t>
      </w:r>
    </w:p>
    <w:p>
      <w:r>
        <w:t>Daily run notes in Bench_Test_Tracker.xlsx; weekly summary deck in R&amp;D_Progress_Deck.pptx.</w:t>
      </w:r>
    </w:p>
    <w:p>
      <w:pPr>
        <w:pStyle w:val="Heading1"/>
      </w:pPr>
      <w:r>
        <w:t>6. Risks &amp; Mitigations</w:t>
      </w:r>
    </w:p>
    <w:p>
      <w:pPr>
        <w:pStyle w:val="ListBullet"/>
      </w:pPr>
      <w:r>
        <w:t>Imaging variance → Controlled lighting &amp; calibration frames</w:t>
      </w:r>
    </w:p>
    <w:p>
      <w:pPr>
        <w:pStyle w:val="ListBullet"/>
      </w:pPr>
      <w:r>
        <w:t>PT noise → Filtering &amp; repeated runs</w:t>
      </w:r>
    </w:p>
    <w:p>
      <w:pPr>
        <w:pStyle w:val="ListBullet"/>
      </w:pPr>
      <w:r>
        <w:t>ELC drift → Narrow window tuning and stability checks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