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MicroHydroV1 — PASS A Engineering Report</w:t>
      </w:r>
    </w:p>
    <w:p>
      <w:pPr>
        <w:jc w:val="center"/>
      </w:pPr>
      <w:r>
        <w:t>Stage A Completion Summary — January 21, 2026</w:t>
      </w:r>
    </w:p>
    <w:p>
      <w:pPr>
        <w:pStyle w:val="Heading1"/>
      </w:pPr>
      <w:r>
        <w:t>1. Executive Summary</w:t>
      </w:r>
    </w:p>
    <w:p>
      <w:r>
        <w:rPr>
          <w:b/>
        </w:rPr>
        <w:t xml:space="preserve">Scope. </w:t>
      </w:r>
      <w:r>
        <w:t xml:space="preserve">Stage A established the initial design baseline for MicroHydroV1, producing the Design vNext files and associated assets. </w:t>
      </w:r>
      <w:r>
        <w:t xml:space="preserve">This includes first-pass geometry for the hyperbolic tank inlet (diffuser) and a 9 mm pre‑swirl nozzle, along with supporting sketches, SVG drawings, bill‑of‑materials (BOM) stubs, and rationale notes. </w:t>
      </w:r>
    </w:p>
    <w:p>
      <w:r>
        <w:t>Key Stage A outcomes:</w:t>
      </w:r>
    </w:p>
    <w:p>
      <w:pPr>
        <w:pStyle w:val="ListBullet"/>
      </w:pPr>
      <w:r>
        <w:rPr>
          <w:b w:val="0"/>
        </w:rPr>
        <w:t xml:space="preserve"> Design vNext asset set created</w:t>
      </w:r>
    </w:p>
    <w:p>
      <w:pPr>
        <w:pStyle w:val="ListBullet"/>
      </w:pPr>
      <w:r>
        <w:t xml:space="preserve"> Hyperbolic tank inlet diffuser concept defined</w:t>
      </w:r>
    </w:p>
    <w:p>
      <w:pPr>
        <w:pStyle w:val="ListBullet"/>
      </w:pPr>
      <w:r>
        <w:t xml:space="preserve"> 9 mm pre‑swirl nozzle concept defined</w:t>
      </w:r>
    </w:p>
    <w:p>
      <w:pPr>
        <w:pStyle w:val="ListBullet"/>
      </w:pPr>
      <w:r>
        <w:t xml:space="preserve"> Sketches and SVGs exported for early review</w:t>
      </w:r>
    </w:p>
    <w:p>
      <w:pPr>
        <w:pStyle w:val="ListBullet"/>
      </w:pPr>
      <w:r>
        <w:t xml:space="preserve"> BOM stubs drafted for long‑lead items and interfaces</w:t>
      </w:r>
    </w:p>
    <w:p>
      <w:pPr>
        <w:pStyle w:val="Heading1"/>
      </w:pPr>
      <w:r>
        <w:t>2. Stage A Objectives</w:t>
      </w:r>
    </w:p>
    <w:p>
      <w:r>
        <w:rPr>
          <w:b/>
        </w:rPr>
        <w:t xml:space="preserve">Objectives. </w:t>
      </w:r>
      <w:r>
        <w:t>Converge on an implementable geometric concept for the inlet and nozzle; capture traceable design decisions; and package artifacts needed to begin detailed analysis and prototyping in Stage B.</w:t>
      </w:r>
    </w:p>
    <w:p>
      <w:r>
        <w:t>Deliverables produced in Stage A:</w:t>
      </w:r>
    </w:p>
    <w:p>
      <w:pPr>
        <w:pStyle w:val="ListNumber"/>
      </w:pPr>
      <w:r>
        <w:t xml:space="preserve"> Executive summary of baseline decisions</w:t>
      </w:r>
    </w:p>
    <w:p>
      <w:pPr>
        <w:pStyle w:val="ListNumber"/>
      </w:pPr>
      <w:r>
        <w:t xml:space="preserve"> Objectives and success criteria for Stage A</w:t>
      </w:r>
    </w:p>
    <w:p>
      <w:pPr>
        <w:pStyle w:val="ListNumber"/>
      </w:pPr>
      <w:r>
        <w:t xml:space="preserve"> Component designs: hyperbolic tank inlet and 9 mm pre‑swirl nozzle</w:t>
      </w:r>
    </w:p>
    <w:p>
      <w:pPr>
        <w:pStyle w:val="ListNumber"/>
      </w:pPr>
      <w:r>
        <w:t xml:space="preserve"> Design rationales grounded in conventional hydraulics and selective golden‑mode heuristics</w:t>
      </w:r>
    </w:p>
    <w:p>
      <w:pPr>
        <w:pStyle w:val="ListNumber"/>
      </w:pPr>
      <w:r>
        <w:t xml:space="preserve"> Files/artifacts: sketches, SVGs, and BOM stubs</w:t>
      </w:r>
    </w:p>
    <w:p>
      <w:pPr>
        <w:pStyle w:val="ListNumber"/>
      </w:pPr>
      <w:r>
        <w:t xml:space="preserve"> Recommendations and NEXT actions for Stage B</w:t>
      </w:r>
    </w:p>
    <w:p>
      <w:pPr>
        <w:pStyle w:val="Heading1"/>
      </w:pPr>
      <w:r>
        <w:t>3. Component Designs</w:t>
      </w:r>
    </w:p>
    <w:p>
      <w:pPr>
        <w:pStyle w:val="Heading2"/>
      </w:pPr>
      <w:r>
        <w:t>3.1 Hyperbolic Tank Inlet (Diffuser)</w:t>
      </w:r>
    </w:p>
    <w:p>
      <w:r>
        <w:rPr>
          <w:b/>
        </w:rPr>
        <w:t xml:space="preserve">Purpose. </w:t>
      </w:r>
      <w:r>
        <w:t>Shape incoming flow to minimize separation and distribute velocity uniformly into the tank, providing stable conditions upstream of the energy conversion stage.</w:t>
      </w:r>
    </w:p>
    <w:p>
      <w:r>
        <w:rPr>
          <w:b/>
        </w:rPr>
        <w:t xml:space="preserve">Concept geometry. </w:t>
      </w:r>
      <w:r>
        <w:t>A smooth hyperbolic‑like axial profile transitions from the supply pipe to the tank diameter. The profile is parameterized by inlet diameter D_in, outlet diameter D_out, overall length L, and wall offset terms to control curvature continuity (C^1/C^2). Exact constants to be finalized in Stage B based on manufacturability and analysis.</w:t>
      </w:r>
    </w:p>
    <w:p>
      <w:r>
        <w:rPr>
          <w:b/>
        </w:rPr>
        <w:t xml:space="preserve">Interfaces. </w:t>
      </w:r>
      <w:r>
        <w:t>Flanged or grooved connection at the supply side; mounting flange or bulkhead fitting at the tank wall; optional debris screen interface; downstream clearance to the pre‑swirl nozzle.</w:t>
      </w:r>
    </w:p>
    <w:p>
      <w:r>
        <w:rPr>
          <w:b/>
        </w:rPr>
        <w:t xml:space="preserve">Manufacturing options. </w:t>
      </w:r>
      <w:r>
        <w:t>CNC from polymer/aluminum, additive manufacturing (SLS/SLA), or rotationally molded insert; final selection gated on cost and corrosion constraints.</w:t>
      </w:r>
    </w:p>
    <w:p>
      <w:r>
        <w:rPr>
          <w:b/>
        </w:rPr>
        <w:t xml:space="preserve">Configuration items. </w:t>
      </w:r>
      <w:r>
        <w:t>Inlet body, mounting ring, gasket, fasteners, optional screen.</w:t>
      </w:r>
    </w:p>
    <w:p>
      <w:pPr>
        <w:pStyle w:val="Heading2"/>
      </w:pPr>
      <w:r>
        <w:t>3.2 9 mm Pre‑Swirl Nozzle</w:t>
      </w:r>
    </w:p>
    <w:p>
      <w:r>
        <w:rPr>
          <w:b/>
        </w:rPr>
        <w:t xml:space="preserve">Purpose. </w:t>
      </w:r>
      <w:r>
        <w:t>Impart a controlled tangential component to the flow while metering through a nominal 9 mm orifice to condition inflow to the runner stage.</w:t>
      </w:r>
    </w:p>
    <w:p>
      <w:r>
        <w:rPr>
          <w:b/>
        </w:rPr>
        <w:t xml:space="preserve">Concept geometry. </w:t>
      </w:r>
      <w:r>
        <w:t>A central converging nozzle with a 9 mm throat and a removable vane pack (e.g., 3–6 vanes) that sets swirl intensity and direction. Body and retainer features accommodate easy vane changes during testing.</w:t>
      </w:r>
    </w:p>
    <w:p>
      <w:r>
        <w:rPr>
          <w:b/>
        </w:rPr>
        <w:t xml:space="preserve">Interfaces. </w:t>
      </w:r>
      <w:r>
        <w:t>Upstream: tank inlet diffuser clearance; Downstream: runner/housing interface; Seals: O‑ring glands sized to standard cross‑sections.</w:t>
      </w:r>
    </w:p>
    <w:p>
      <w:r>
        <w:rPr>
          <w:b/>
        </w:rPr>
        <w:t xml:space="preserve">Manufacturing options. </w:t>
      </w:r>
      <w:r>
        <w:t>Turned body (brass/SS), polymer print for rapid trials, laser‑cut vane pack with post‑forming as needed.</w:t>
      </w:r>
    </w:p>
    <w:p>
      <w:r>
        <w:rPr>
          <w:b/>
        </w:rPr>
        <w:t xml:space="preserve">Configuration items. </w:t>
      </w:r>
      <w:r>
        <w:t>Nozzle body, vane pack, nozzle cap/retainer, O‑rings, fasteners.</w:t>
      </w:r>
    </w:p>
    <w:p>
      <w:pPr>
        <w:pStyle w:val="Heading1"/>
      </w:pPr>
      <w:r>
        <w:t>4. Design Rationales</w:t>
      </w:r>
    </w:p>
    <w:p>
      <w:r>
        <w:rPr>
          <w:b/>
        </w:rPr>
        <w:t xml:space="preserve">Conventional hydraulics. </w:t>
      </w:r>
      <w:r>
        <w:t>Smoothly accelerating/decaying area changes reduce separation risk and losses; uniform tank inflow supports stable downstream operation. The 9 mm throat is selected as an initial control diameter to enable predictable metering and testable head‑loss in Stage B.</w:t>
      </w:r>
    </w:p>
    <w:p>
      <w:r>
        <w:rPr>
          <w:b/>
        </w:rPr>
        <w:t xml:space="preserve">Selective golden‑mode heuristics. </w:t>
      </w:r>
      <w:r>
        <w:t>Prefer geometries with high tolerance to manufacturing variation, few moving parts, and adjustable parameters (e.g., swappable vane packs). Choose materials and features that minimize maintenance in wet environments while keeping options open for early iteration.</w:t>
      </w:r>
    </w:p>
    <w:p>
      <w:pPr>
        <w:pStyle w:val="Heading1"/>
      </w:pPr>
      <w:r>
        <w:t>5. Files / Artifacts Generated</w:t>
      </w:r>
    </w:p>
    <w:p>
      <w:r>
        <w:t>Sketches &amp; SVGs exported:</w:t>
      </w:r>
    </w:p>
    <w:p>
      <w:pPr>
        <w:pStyle w:val="ListBullet"/>
      </w:pPr>
      <w:r>
        <w:t>hyperbolic_inlet_vA1.svg — schematic diffuser profile</w:t>
      </w:r>
    </w:p>
    <w:p>
      <w:pPr>
        <w:pStyle w:val="ListBullet"/>
      </w:pPr>
      <w:r>
        <w:t>pre_swirl_nozzle_9mm_vA1.svg — schematic nozzle with vane directions</w:t>
      </w:r>
    </w:p>
    <w:p>
      <w:r>
        <w:t>BOM stubs (initial):</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Item</w:t>
            </w:r>
          </w:p>
        </w:tc>
        <w:tc>
          <w:tcPr>
            <w:tcW w:type="dxa" w:w="1440"/>
          </w:tcPr>
          <w:p>
            <w:r>
              <w:t>Part No.</w:t>
            </w:r>
          </w:p>
        </w:tc>
        <w:tc>
          <w:tcPr>
            <w:tcW w:type="dxa" w:w="1440"/>
          </w:tcPr>
          <w:p>
            <w:r>
              <w:t>Qty</w:t>
            </w:r>
          </w:p>
        </w:tc>
        <w:tc>
          <w:tcPr>
            <w:tcW w:type="dxa" w:w="1440"/>
          </w:tcPr>
          <w:p>
            <w:r>
              <w:t>Material</w:t>
            </w:r>
          </w:p>
        </w:tc>
        <w:tc>
          <w:tcPr>
            <w:tcW w:type="dxa" w:w="1440"/>
          </w:tcPr>
          <w:p>
            <w:r>
              <w:t>Process</w:t>
            </w:r>
          </w:p>
        </w:tc>
        <w:tc>
          <w:tcPr>
            <w:tcW w:type="dxa" w:w="1440"/>
          </w:tcPr>
          <w:p>
            <w:r>
              <w:t>Notes</w:t>
            </w:r>
          </w:p>
        </w:tc>
      </w:tr>
      <w:tr>
        <w:tc>
          <w:tcPr>
            <w:tcW w:type="dxa" w:w="1440"/>
          </w:tcPr>
          <w:p>
            <w:r>
              <w:t>Hyperbolic inlet body</w:t>
            </w:r>
          </w:p>
        </w:tc>
        <w:tc>
          <w:tcPr>
            <w:tcW w:type="dxa" w:w="1440"/>
          </w:tcPr>
          <w:p>
            <w:r>
              <w:t>MHV1-A-100</w:t>
            </w:r>
          </w:p>
        </w:tc>
        <w:tc>
          <w:tcPr>
            <w:tcW w:type="dxa" w:w="1440"/>
          </w:tcPr>
          <w:p>
            <w:r>
              <w:t>1</w:t>
            </w:r>
          </w:p>
        </w:tc>
        <w:tc>
          <w:tcPr>
            <w:tcW w:type="dxa" w:w="1440"/>
          </w:tcPr>
          <w:p>
            <w:r>
              <w:t>Polymer/Al</w:t>
            </w:r>
          </w:p>
        </w:tc>
        <w:tc>
          <w:tcPr>
            <w:tcW w:type="dxa" w:w="1440"/>
          </w:tcPr>
          <w:p>
            <w:r>
              <w:t>CNC/SLS</w:t>
            </w:r>
          </w:p>
        </w:tc>
        <w:tc>
          <w:tcPr>
            <w:tcW w:type="dxa" w:w="1440"/>
          </w:tcPr>
          <w:p>
            <w:r>
              <w:t>Profile constants TBD; mates to tank bulkhead</w:t>
            </w:r>
          </w:p>
        </w:tc>
      </w:tr>
      <w:tr>
        <w:tc>
          <w:tcPr>
            <w:tcW w:type="dxa" w:w="1440"/>
          </w:tcPr>
          <w:p>
            <w:r>
              <w:t>Mounting ring/flange</w:t>
            </w:r>
          </w:p>
        </w:tc>
        <w:tc>
          <w:tcPr>
            <w:tcW w:type="dxa" w:w="1440"/>
          </w:tcPr>
          <w:p>
            <w:r>
              <w:t>MHV1-A-110</w:t>
            </w:r>
          </w:p>
        </w:tc>
        <w:tc>
          <w:tcPr>
            <w:tcW w:type="dxa" w:w="1440"/>
          </w:tcPr>
          <w:p>
            <w:r>
              <w:t>1</w:t>
            </w:r>
          </w:p>
        </w:tc>
        <w:tc>
          <w:tcPr>
            <w:tcW w:type="dxa" w:w="1440"/>
          </w:tcPr>
          <w:p>
            <w:r>
              <w:t>SS/Al</w:t>
            </w:r>
          </w:p>
        </w:tc>
        <w:tc>
          <w:tcPr>
            <w:tcW w:type="dxa" w:w="1440"/>
          </w:tcPr>
          <w:p>
            <w:r>
              <w:t>CNC/Laser cut</w:t>
            </w:r>
          </w:p>
        </w:tc>
        <w:tc>
          <w:tcPr>
            <w:tcW w:type="dxa" w:w="1440"/>
          </w:tcPr>
          <w:p>
            <w:r>
              <w:t>Holes to bolt pattern TBD</w:t>
            </w:r>
          </w:p>
        </w:tc>
      </w:tr>
      <w:tr>
        <w:tc>
          <w:tcPr>
            <w:tcW w:type="dxa" w:w="1440"/>
          </w:tcPr>
          <w:p>
            <w:r>
              <w:t>Debris screen (opt.)</w:t>
            </w:r>
          </w:p>
        </w:tc>
        <w:tc>
          <w:tcPr>
            <w:tcW w:type="dxa" w:w="1440"/>
          </w:tcPr>
          <w:p>
            <w:r>
              <w:t>MHV1-A-120</w:t>
            </w:r>
          </w:p>
        </w:tc>
        <w:tc>
          <w:tcPr>
            <w:tcW w:type="dxa" w:w="1440"/>
          </w:tcPr>
          <w:p>
            <w:r>
              <w:t>1</w:t>
            </w:r>
          </w:p>
        </w:tc>
        <w:tc>
          <w:tcPr>
            <w:tcW w:type="dxa" w:w="1440"/>
          </w:tcPr>
          <w:p>
            <w:r>
              <w:t>SS</w:t>
            </w:r>
          </w:p>
        </w:tc>
        <w:tc>
          <w:tcPr>
            <w:tcW w:type="dxa" w:w="1440"/>
          </w:tcPr>
          <w:p>
            <w:r>
              <w:t>Wire mesh</w:t>
            </w:r>
          </w:p>
        </w:tc>
        <w:tc>
          <w:tcPr>
            <w:tcW w:type="dxa" w:w="1440"/>
          </w:tcPr>
          <w:p>
            <w:r>
              <w:t>Removable for cleaning</w:t>
            </w:r>
          </w:p>
        </w:tc>
      </w:tr>
      <w:tr>
        <w:tc>
          <w:tcPr>
            <w:tcW w:type="dxa" w:w="1440"/>
          </w:tcPr>
          <w:p>
            <w:r>
              <w:t>Nozzle body, 9 mm throat</w:t>
            </w:r>
          </w:p>
        </w:tc>
        <w:tc>
          <w:tcPr>
            <w:tcW w:type="dxa" w:w="1440"/>
          </w:tcPr>
          <w:p>
            <w:r>
              <w:t>MHV1-A-200</w:t>
            </w:r>
          </w:p>
        </w:tc>
        <w:tc>
          <w:tcPr>
            <w:tcW w:type="dxa" w:w="1440"/>
          </w:tcPr>
          <w:p>
            <w:r>
              <w:t>1</w:t>
            </w:r>
          </w:p>
        </w:tc>
        <w:tc>
          <w:tcPr>
            <w:tcW w:type="dxa" w:w="1440"/>
          </w:tcPr>
          <w:p>
            <w:r>
              <w:t>Brass/SS</w:t>
            </w:r>
          </w:p>
        </w:tc>
        <w:tc>
          <w:tcPr>
            <w:tcW w:type="dxa" w:w="1440"/>
          </w:tcPr>
          <w:p>
            <w:r>
              <w:t>Turning</w:t>
            </w:r>
          </w:p>
        </w:tc>
        <w:tc>
          <w:tcPr>
            <w:tcW w:type="dxa" w:w="1440"/>
          </w:tcPr>
          <w:p>
            <w:r>
              <w:t>Threaded cap interface</w:t>
            </w:r>
          </w:p>
        </w:tc>
      </w:tr>
      <w:tr>
        <w:tc>
          <w:tcPr>
            <w:tcW w:type="dxa" w:w="1440"/>
          </w:tcPr>
          <w:p>
            <w:r>
              <w:t>Vane pack (pre‑swirl)</w:t>
            </w:r>
          </w:p>
        </w:tc>
        <w:tc>
          <w:tcPr>
            <w:tcW w:type="dxa" w:w="1440"/>
          </w:tcPr>
          <w:p>
            <w:r>
              <w:t>MHV1-A-210</w:t>
            </w:r>
          </w:p>
        </w:tc>
        <w:tc>
          <w:tcPr>
            <w:tcW w:type="dxa" w:w="1440"/>
          </w:tcPr>
          <w:p>
            <w:r>
              <w:t>1</w:t>
            </w:r>
          </w:p>
        </w:tc>
        <w:tc>
          <w:tcPr>
            <w:tcW w:type="dxa" w:w="1440"/>
          </w:tcPr>
          <w:p>
            <w:r>
              <w:t>SS/Polymer</w:t>
            </w:r>
          </w:p>
        </w:tc>
        <w:tc>
          <w:tcPr>
            <w:tcW w:type="dxa" w:w="1440"/>
          </w:tcPr>
          <w:p>
            <w:r>
              <w:t>Laser/Print</w:t>
            </w:r>
          </w:p>
        </w:tc>
        <w:tc>
          <w:tcPr>
            <w:tcW w:type="dxa" w:w="1440"/>
          </w:tcPr>
          <w:p>
            <w:r>
              <w:t>3–6 vanes; angle set TBD</w:t>
            </w:r>
          </w:p>
        </w:tc>
      </w:tr>
      <w:tr>
        <w:tc>
          <w:tcPr>
            <w:tcW w:type="dxa" w:w="1440"/>
          </w:tcPr>
          <w:p>
            <w:r>
              <w:t>Cap/retainer</w:t>
            </w:r>
          </w:p>
        </w:tc>
        <w:tc>
          <w:tcPr>
            <w:tcW w:type="dxa" w:w="1440"/>
          </w:tcPr>
          <w:p>
            <w:r>
              <w:t>MHV1-A-220</w:t>
            </w:r>
          </w:p>
        </w:tc>
        <w:tc>
          <w:tcPr>
            <w:tcW w:type="dxa" w:w="1440"/>
          </w:tcPr>
          <w:p>
            <w:r>
              <w:t>1</w:t>
            </w:r>
          </w:p>
        </w:tc>
        <w:tc>
          <w:tcPr>
            <w:tcW w:type="dxa" w:w="1440"/>
          </w:tcPr>
          <w:p>
            <w:r>
              <w:t>SS/Polymer</w:t>
            </w:r>
          </w:p>
        </w:tc>
        <w:tc>
          <w:tcPr>
            <w:tcW w:type="dxa" w:w="1440"/>
          </w:tcPr>
          <w:p>
            <w:r>
              <w:t>Turning/Print</w:t>
            </w:r>
          </w:p>
        </w:tc>
        <w:tc>
          <w:tcPr>
            <w:tcW w:type="dxa" w:w="1440"/>
          </w:tcPr>
          <w:p>
            <w:r>
              <w:t>Captures vane pack</w:t>
            </w:r>
          </w:p>
        </w:tc>
      </w:tr>
      <w:tr>
        <w:tc>
          <w:tcPr>
            <w:tcW w:type="dxa" w:w="1440"/>
          </w:tcPr>
          <w:p>
            <w:r>
              <w:t>O‑ring, AS‑size TBD</w:t>
            </w:r>
          </w:p>
        </w:tc>
        <w:tc>
          <w:tcPr>
            <w:tcW w:type="dxa" w:w="1440"/>
          </w:tcPr>
          <w:p>
            <w:r>
              <w:t>STD-OR-TBD</w:t>
            </w:r>
          </w:p>
        </w:tc>
        <w:tc>
          <w:tcPr>
            <w:tcW w:type="dxa" w:w="1440"/>
          </w:tcPr>
          <w:p>
            <w:r>
              <w:t>2</w:t>
            </w:r>
          </w:p>
        </w:tc>
        <w:tc>
          <w:tcPr>
            <w:tcW w:type="dxa" w:w="1440"/>
          </w:tcPr>
          <w:p>
            <w:r>
              <w:t>NBR/EPDM</w:t>
            </w:r>
          </w:p>
        </w:tc>
        <w:tc>
          <w:tcPr>
            <w:tcW w:type="dxa" w:w="1440"/>
          </w:tcPr>
          <w:p>
            <w:r>
              <w:t>Std</w:t>
            </w:r>
          </w:p>
        </w:tc>
        <w:tc>
          <w:tcPr>
            <w:tcW w:type="dxa" w:w="1440"/>
          </w:tcPr>
          <w:p>
            <w:r>
              <w:t>Water‑compatible</w:t>
            </w:r>
          </w:p>
        </w:tc>
      </w:tr>
      <w:tr>
        <w:tc>
          <w:tcPr>
            <w:tcW w:type="dxa" w:w="1440"/>
          </w:tcPr>
          <w:p>
            <w:r>
              <w:t>Fasteners, M6 x TBD</w:t>
            </w:r>
          </w:p>
        </w:tc>
        <w:tc>
          <w:tcPr>
            <w:tcW w:type="dxa" w:w="1440"/>
          </w:tcPr>
          <w:p>
            <w:r>
              <w:t>STD-F-M6</w:t>
            </w:r>
          </w:p>
        </w:tc>
        <w:tc>
          <w:tcPr>
            <w:tcW w:type="dxa" w:w="1440"/>
          </w:tcPr>
          <w:p>
            <w:r>
              <w:t>8</w:t>
            </w:r>
          </w:p>
        </w:tc>
        <w:tc>
          <w:tcPr>
            <w:tcW w:type="dxa" w:w="1440"/>
          </w:tcPr>
          <w:p>
            <w:r>
              <w:t>SS A2</w:t>
            </w:r>
          </w:p>
        </w:tc>
        <w:tc>
          <w:tcPr>
            <w:tcW w:type="dxa" w:w="1440"/>
          </w:tcPr>
          <w:p>
            <w:r>
              <w:t>Std</w:t>
            </w:r>
          </w:p>
        </w:tc>
        <w:tc>
          <w:tcPr>
            <w:tcW w:type="dxa" w:w="1440"/>
          </w:tcPr>
          <w:p>
            <w:r>
              <w:t>Anti‑corrosion</w:t>
            </w:r>
          </w:p>
        </w:tc>
      </w:tr>
    </w:tbl>
    <w:p>
      <w:pPr>
        <w:pStyle w:val="Heading1"/>
      </w:pPr>
      <w:r>
        <w:t>6. Recommendations and NEXT Actions</w:t>
      </w:r>
    </w:p>
    <w:p>
      <w:pPr>
        <w:pStyle w:val="ListBullet"/>
      </w:pPr>
      <w:r>
        <w:t>Freeze vA1 geometries for the inlet and nozzle and publish parametric drawings (DXF/SVG) with key dimensions.</w:t>
      </w:r>
    </w:p>
    <w:p>
      <w:pPr>
        <w:pStyle w:val="ListBullet"/>
      </w:pPr>
      <w:r>
        <w:t>Run first‑order hydraulic checks (loss coefficients, expected discharge) and size ranges for target operating envelopes.</w:t>
      </w:r>
    </w:p>
    <w:p>
      <w:pPr>
        <w:pStyle w:val="ListBullet"/>
      </w:pPr>
      <w:r>
        <w:t>Prototype set A: print polymer diffuser and nozzle; prepare three vane packs (low/med/high swirl).</w:t>
      </w:r>
    </w:p>
    <w:p>
      <w:pPr>
        <w:pStyle w:val="ListBullet"/>
      </w:pPr>
      <w:r>
        <w:t>Bench test with controlled head/flow; log pressure drop, flow uniformity, and downstream velocity profiles.</w:t>
      </w:r>
    </w:p>
    <w:p>
      <w:pPr>
        <w:pStyle w:val="ListBullet"/>
      </w:pPr>
      <w:r>
        <w:t>Rev A BOM refinement: finalize materials, tolerance stack, and fastener patterns.</w:t>
      </w:r>
    </w:p>
    <w:p>
      <w:pPr>
        <w:pStyle w:val="ListBullet"/>
      </w:pPr>
      <w:r>
        <w:t>Risk review: clogging, cavitation margin, and assembly leakage—define mitigations and inspection points.</w:t>
      </w:r>
    </w:p>
    <w:p>
      <w:r>
        <w:br/>
        <w:t>Prepared with assistance from M365 Copilot.</w:t>
      </w:r>
    </w:p>
    <w:p>
      <w:pPr>
        <w:pStyle w:val="Heading1"/>
      </w:pPr>
      <w:r>
        <w:t>Appendix A — Sketches</w:t>
      </w:r>
    </w:p>
    <w:p>
      <w:r>
        <w:t>Schematic images corresponding to the exported SVGs:</w:t>
      </w:r>
    </w:p>
    <w:p>
      <w:r>
        <w:drawing>
          <wp:inline xmlns:a="http://schemas.openxmlformats.org/drawingml/2006/main" xmlns:pic="http://schemas.openxmlformats.org/drawingml/2006/picture">
            <wp:extent cx="5943600" cy="3566160"/>
            <wp:docPr id="1" name="Picture 1"/>
            <wp:cNvGraphicFramePr>
              <a:graphicFrameLocks noChangeAspect="1"/>
            </wp:cNvGraphicFramePr>
            <a:graphic>
              <a:graphicData uri="http://schemas.openxmlformats.org/drawingml/2006/picture">
                <pic:pic>
                  <pic:nvPicPr>
                    <pic:cNvPr id="0" name="hyperbolic_inlet_vA1.png"/>
                    <pic:cNvPicPr/>
                  </pic:nvPicPr>
                  <pic:blipFill>
                    <a:blip r:embed="rId9"/>
                    <a:stretch>
                      <a:fillRect/>
                    </a:stretch>
                  </pic:blipFill>
                  <pic:spPr>
                    <a:xfrm>
                      <a:off x="0" y="0"/>
                      <a:ext cx="5943600" cy="3566160"/>
                    </a:xfrm>
                    <a:prstGeom prst="rect"/>
                  </pic:spPr>
                </pic:pic>
              </a:graphicData>
            </a:graphic>
          </wp:inline>
        </w:drawing>
      </w:r>
    </w:p>
    <w:p>
      <w:r>
        <w:t>Figure A1. Hyperbolic tank inlet (diffuser) — schematic.</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pre_swirl_nozzle_9mm_vA1.png"/>
                    <pic:cNvPicPr/>
                  </pic:nvPicPr>
                  <pic:blipFill>
                    <a:blip r:embed="rId10"/>
                    <a:stretch>
                      <a:fillRect/>
                    </a:stretch>
                  </pic:blipFill>
                  <pic:spPr>
                    <a:xfrm>
                      <a:off x="0" y="0"/>
                      <a:ext cx="5486400" cy="5486400"/>
                    </a:xfrm>
                    <a:prstGeom prst="rect"/>
                  </pic:spPr>
                </pic:pic>
              </a:graphicData>
            </a:graphic>
          </wp:inline>
        </w:drawing>
      </w:r>
    </w:p>
    <w:p>
      <w:r>
        <w:t>Figure A2. 9 mm pre‑swirl nozzle — schematic.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