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A — System Engineering for Off‑Grid Power</w:t>
      </w:r>
    </w:p>
    <w:p/>
    <w:p>
      <w:r>
        <w:t>Generated: 2026-01-22</w:t>
      </w:r>
    </w:p>
    <w:p/>
    <w:p>
      <w:pPr>
        <w:pStyle w:val="Heading2"/>
      </w:pPr>
      <w:r>
        <w:t>A1. Requirements &amp; Load Modeling</w:t>
      </w:r>
    </w:p>
    <w:p/>
    <w:p>
      <w:pPr>
        <w:pStyle w:val="Heading3"/>
      </w:pPr>
      <w:r>
        <w:t>A1.1 Start with loads</w:t>
      </w:r>
    </w:p>
    <w:p>
      <w:r>
        <w:t>Define: daily energy (kWh/day), peak power (kW), surge loads, and critical loads. A stand‑alone system must supply loads without a grid buffer, so load profiling is the first design driver.</w:t>
      </w:r>
    </w:p>
    <w:p/>
    <w:p>
      <w:r>
        <w:t>DOE notes stand‑alone systems typically require balance‑of‑system equipment (batteries, charge controllers, power conditioning, safety equipment) in addition to the generator, and reliability is achieved through a combination of system sizing and reducing required electricity. citeturn1search31</w:t>
      </w:r>
    </w:p>
    <w:p/>
    <w:p>
      <w:pPr>
        <w:pStyle w:val="Heading3"/>
      </w:pPr>
      <w:r>
        <w:t>A1.2 Reliability targets</w:t>
      </w:r>
    </w:p>
    <w:p>
      <w:pPr>
        <w:pStyle w:val="ListBullet"/>
      </w:pPr>
      <w:r>
        <w:t>Autonomy days (e.g., 1–3+ days)</w:t>
      </w:r>
    </w:p>
    <w:p>
      <w:pPr>
        <w:pStyle w:val="ListBullet"/>
      </w:pPr>
      <w:r>
        <w:t>Loss of load probability (LOLP) or practical equivalent (hours/year of unmet load)</w:t>
      </w:r>
    </w:p>
    <w:p>
      <w:pPr>
        <w:pStyle w:val="ListBullet"/>
      </w:pPr>
      <w:r>
        <w:t>Power quality requirements (frequency/voltage limits)</w:t>
      </w:r>
    </w:p>
    <w:p/>
    <w:p>
      <w:r>
        <w:t>NREL’s REopt off‑grid training explains that optimization tools can size and dispatch PV and batteries for off‑grid microgrids under reliability constraints. citeturn1search28</w:t>
      </w:r>
    </w:p>
    <w:p/>
    <w:p>
      <w:pPr>
        <w:pStyle w:val="Heading2"/>
      </w:pPr>
      <w:r>
        <w:t>A2. Architecture Patterns</w:t>
      </w:r>
    </w:p>
    <w:p/>
    <w:p>
      <w:pPr>
        <w:pStyle w:val="Heading3"/>
      </w:pPr>
      <w:r>
        <w:t>A2.1 DC‑coupled (PV → MPPT → battery → inverter)</w:t>
      </w:r>
    </w:p>
    <w:p>
      <w:r>
        <w:t>Typical for cabins/homes due to simplicity and efficient charging. See DOE’s BOS concept for the required controllers/inverters/safety equipment. citeturn1search31</w:t>
      </w:r>
    </w:p>
    <w:p/>
    <w:p>
      <w:pPr>
        <w:pStyle w:val="Heading3"/>
      </w:pPr>
      <w:r>
        <w:t>A2.2 AC‑coupled hybrid microgrid</w:t>
      </w:r>
    </w:p>
    <w:p>
      <w:r>
        <w:t>Multiple sources feed an AC bus; a grid‑forming inverter controls frequency/voltage and charges storage. REopt training discusses AC‑coupled assumptions in modeling off‑grid systems. citeturn1search28</w:t>
      </w:r>
    </w:p>
    <w:p/>
    <w:p>
      <w:pPr>
        <w:pStyle w:val="Heading2"/>
      </w:pPr>
      <w:r>
        <w:t>A3. Sizing Workflow (repeatable)</w:t>
      </w:r>
    </w:p>
    <w:p>
      <w:r>
        <w:t>1) Reduce loads</w:t>
      </w:r>
    </w:p>
    <w:p>
      <w:r>
        <w:t>2) Build hourly (or at least seasonal) load profile</w:t>
      </w:r>
    </w:p>
    <w:p>
      <w:r>
        <w:t>3) Quantify resource (solar/wind/hydro/biomass)</w:t>
      </w:r>
    </w:p>
    <w:p>
      <w:r>
        <w:t>4) Choose architecture</w:t>
      </w:r>
    </w:p>
    <w:p>
      <w:r>
        <w:t>5) Size generation, storage, inverter, and protection</w:t>
      </w:r>
    </w:p>
    <w:p>
      <w:r>
        <w:t>6) Validate with simulation (REopt / SAM / spreadsheet)</w:t>
      </w:r>
    </w:p>
    <w:p>
      <w:r>
        <w:t>7) Design for safety &amp; maintainability</w:t>
      </w:r>
    </w:p>
    <w:p/>
    <w:p>
      <w:pPr>
        <w:pStyle w:val="Heading2"/>
      </w:pPr>
      <w:r>
        <w:t>A4. Commissioning &amp; O&amp;M</w:t>
      </w:r>
    </w:p>
    <w:p>
      <w:r>
        <w:t>Document: operating modes, spares, monitoring plan, seasonal procedures. Microgrid guidance emphasizes resilience planning, requirements definition and lessons learned from real deployments. citeturn2search68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