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C — Storage &amp; Power Electronics</w:t>
      </w:r>
    </w:p>
    <w:p/>
    <w:p>
      <w:pPr>
        <w:pStyle w:val="Heading2"/>
      </w:pPr>
      <w:r>
        <w:t>C1. Battery safety and installation context</w:t>
      </w:r>
    </w:p>
    <w:p>
      <w:r>
        <w:t>UL Solutions notes that NFPA 855 (2023) and the 2024 International Fire Code reference UL 9540A testing in certain situations, and that standards/codes evolve for ESS fire/explosion hazards. citeturn2search61</w:t>
      </w:r>
    </w:p>
    <w:p/>
    <w:p>
      <w:r>
        <w:t>ACP’s overview highlights NFPA 855’s focus on explosion control, fire suppression strategy, and AHJ oversight through commissioning/decommissioning. citeturn2search59</w:t>
      </w:r>
    </w:p>
    <w:p/>
    <w:p>
      <w:pPr>
        <w:pStyle w:val="Heading2"/>
      </w:pPr>
      <w:r>
        <w:t>C2. Inverters &amp; interconnection</w:t>
      </w:r>
    </w:p>
    <w:p>
      <w:r>
        <w:t>NREL summarizes the role of standards (IEEE 1547 family, UL 1741 context) for interconnection and interoperability on modern grids. citeturn1search11</w:t>
      </w:r>
    </w:p>
    <w:p/>
    <w:p>
      <w:pPr>
        <w:pStyle w:val="Heading2"/>
      </w:pPr>
      <w:r>
        <w:t>C3. Design checklists</w:t>
      </w:r>
    </w:p>
    <w:p>
      <w:r>
        <w:t>See **08_Tools_Templates** for worksheets.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