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D — Microgrids &amp; Controls</w:t>
      </w:r>
    </w:p>
    <w:p/>
    <w:p>
      <w:r>
        <w:t>NREL’s conceptual design guide for resilient microgrids presents processes for requirements definition and lessons learned from defense projects. citeturn2search68</w:t>
      </w:r>
    </w:p>
    <w:p/>
    <w:p>
      <w:r>
        <w:t>NREL’s Microgrid Controls page describes the need for control strategies across time scales, including maintaining real/reactive balance in islanded operation and managing connect/disconnect behavior. citeturn2search72</w:t>
      </w:r>
    </w:p>
    <w:p/>
    <w:p>
      <w:pPr>
        <w:pStyle w:val="Heading2"/>
      </w:pPr>
      <w:r>
        <w:t>D1. Control layers (practical)</w:t>
      </w:r>
    </w:p>
    <w:p>
      <w:pPr>
        <w:pStyle w:val="ListBullet"/>
      </w:pPr>
      <w:r>
        <w:t>Primary (fast): voltage/frequency stability</w:t>
      </w:r>
    </w:p>
    <w:p>
      <w:pPr>
        <w:pStyle w:val="ListBullet"/>
      </w:pPr>
      <w:r>
        <w:t>Secondary: setpoints, power sharing, SOC control</w:t>
      </w:r>
    </w:p>
    <w:p>
      <w:pPr>
        <w:pStyle w:val="ListBullet"/>
      </w:pPr>
      <w:r>
        <w:t>Tertiary: economic dispatch, fuel optimization, forecasting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