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Volume E — Safety, Codes, Standards (High‑Level Engineering Guide)</w:t>
      </w:r>
    </w:p>
    <w:p/>
    <w:p>
      <w:pPr>
        <w:pStyle w:val="ListBullet"/>
      </w:pPr>
      <w:r>
        <w:t>PV electrical hazards are addressed by NEC Article 690, focused on safe PV installation/operation within NEC’s safety purpose. citeturn2search80</w:t>
      </w:r>
    </w:p>
    <w:p>
      <w:pPr>
        <w:pStyle w:val="ListBullet"/>
      </w:pPr>
      <w:r>
        <w:t>Interconnection and standards work (e.g., IEEE 1547 family and related certification context) is central to safe DER integration; NREL provides background on these standards and their evolution. citeturn1search11</w:t>
      </w:r>
    </w:p>
    <w:p>
      <w:pPr>
        <w:pStyle w:val="ListBullet"/>
      </w:pPr>
      <w:r>
        <w:t>ESS fire/explosion considerations are covered by installation standards like NFPA 855 and testing methods like UL 9540A in code contexts. citeturn2search61turn2search59</w:t>
      </w:r>
    </w:p>
    <w:p/>
    <w:p>
      <w:r>
        <w:t>&gt; This volume is informational; for compliance always use the locally adopted electrical and fire codes and professional sign‑off as needed.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