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F — Economics &amp; Cost Trends</w:t>
      </w:r>
    </w:p>
    <w:p/>
    <w:p>
      <w:r>
        <w:t>IRENA reports that renewables remain highly cost‑competitive for new generation in 2024 and provides technology-by-technology cost/LCOE movements. citeturn1search23</w:t>
      </w:r>
    </w:p>
    <w:p/>
    <w:p>
      <w:r>
        <w:t>Lazard’s LCOE+ (2025) compiles levelized cost ranges for generation and storage and discusses competitiveness and storage cost decline. citeturn1search22</w:t>
      </w:r>
    </w:p>
    <w:p/>
    <w:p>
      <w:r>
        <w:t>EIA’s AEO 2025 LCOE report provides modeled levelized costs and methodology for comparing new generation resources in the U.S. context. citeturn1search24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