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6"/>
          <w:szCs w:val="56"/>
        </w:rPr>
        <w:t xml:space="preserve">NUREALCORTEXLINK</w:t>
      </w:r>
    </w:p>
    <w:p>
      <w:pPr>
        <w:spacing w:after="100"/>
        <w:jc w:val="center"/>
      </w:pPr>
      <w:r>
        <w:rPr>
          <w:rFonts w:ascii="Arial" w:cs="Arial" w:eastAsia="Arial" w:hAnsi="Arial"/>
          <w:color w:val="2E75B6"/>
          <w:sz w:val="40"/>
          <w:szCs w:val="40"/>
        </w:rPr>
        <w:t xml:space="preserve">NCL SYSTEM REPORT</w:t>
      </w:r>
    </w:p>
    <w:p>
      <w:pPr>
        <w:pBdr>
          <w:bottom w:val="single" w:color="2E75B6" w:sz="8" w:space="8"/>
        </w:pBdr>
        <w:spacing w:after="600"/>
        <w:jc w:val="center"/>
      </w:pPr>
      <w:r>
        <w:rPr>
          <w:rFonts w:ascii="Arial" w:cs="Arial" w:eastAsia="Arial" w:hAnsi="Arial"/>
          <w:color w:val="666666"/>
          <w:sz w:val="24"/>
          <w:szCs w:val="24"/>
        </w:rPr>
        <w:t xml:space="preserve">Architecture, Services, Mandates &amp; Doctrine</w:t>
      </w:r>
    </w:p>
    <w:p>
      <w:pPr>
        <w:spacing w:before="1200"/>
      </w:pPr>
    </w:p>
    <w:p>
      <w:pPr>
        <w:spacing w:after="120"/>
        <w:jc w:val="center"/>
      </w:pPr>
      <w:r>
        <w:rPr>
          <w:rFonts w:ascii="Arial" w:cs="Arial" w:eastAsia="Arial" w:hAnsi="Arial"/>
          <w:b/>
          <w:bCs/>
          <w:color w:val="333333"/>
          <w:sz w:val="24"/>
          <w:szCs w:val="24"/>
        </w:rPr>
        <w:t xml:space="preserve">NARTIX / RESONANCE ENERGY</w:t>
      </w:r>
    </w:p>
    <w:p>
      <w:pPr>
        <w:spacing w:after="120"/>
        <w:jc w:val="center"/>
      </w:pPr>
      <w:r>
        <w:rPr>
          <w:rFonts w:ascii="Arial" w:cs="Arial" w:eastAsia="Arial" w:hAnsi="Arial"/>
          <w:color w:val="666666"/>
          <w:sz w:val="22"/>
          <w:szCs w:val="22"/>
        </w:rPr>
        <w:t xml:space="preserve">Report Date: April 17, 2026</w:t>
      </w:r>
    </w:p>
    <w:p>
      <w:pPr>
        <w:jc w:val="center"/>
      </w:pPr>
      <w:r>
        <w:rPr>
          <w:rFonts w:ascii="Arial" w:cs="Arial" w:eastAsia="Arial" w:hAnsi="Arial"/>
          <w:color w:val="666666"/>
          <w:sz w:val="22"/>
          <w:szCs w:val="22"/>
        </w:rPr>
        <w:t xml:space="preserve">Version 1.0.0 — Production Ready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200" w:before="360"/>
      </w:pPr>
      <w:r>
        <w:rPr>
          <w:rFonts w:ascii="Arial" w:cs="Arial" w:eastAsia="Arial" w:hAnsi="Arial"/>
          <w:b/>
          <w:bCs/>
          <w:color w:val="1B2A4A"/>
          <w:sz w:val="32"/>
          <w:szCs w:val="32"/>
        </w:rPr>
        <w:t xml:space="preserve">Executive Summary</w:t>
      </w:r>
    </w:p>
    <w:p>
      <w:pPr>
        <w:spacing w:after="160" w:line="276"/>
      </w:pPr>
      <w:r>
        <w:rPr>
          <w:rFonts w:ascii="Arial" w:cs="Arial" w:eastAsia="Arial" w:hAnsi="Arial"/>
          <w:color w:val="333333"/>
          <w:sz w:val="22"/>
          <w:szCs w:val="22"/>
        </w:rPr>
        <w:t xml:space="preserve">NUREALCORTEXLINK (NCL) is the strategic intelligence brain of the NARTIX ecosystem, operating as the Think pillar of RESONANCE ENERGY. It receives pump prompts from NATRIX via iPhone and Grok, chairs multi-AI councils with Claude, Grok, Gemini, Perplexity, and GPT, and synthesizes doctrine into actionable mandates for the execution pillars: NCC (Build), BRS (Earn), and AAC (Trade).</w:t>
      </w:r>
    </w:p>
    <w:p>
      <w:pPr>
        <w:spacing w:after="160" w:line="276"/>
      </w:pPr>
      <w:r>
        <w:rPr>
          <w:rFonts w:ascii="Arial" w:cs="Arial" w:eastAsia="Arial" w:hAnsi="Arial"/>
          <w:color w:val="333333"/>
          <w:sz w:val="22"/>
          <w:szCs w:val="22"/>
        </w:rPr>
        <w:t xml:space="preserve">The system is production-ready at version 1.0.0, comprising 2,880 lines of Python across 16 modules, 103+ API endpoints, and a full-stack FastAPI runtime on port 8800. All 8 services are confirmed online and operational. This report catalogues the complete system architecture, service topology, active mandates, agent definitions, and strategic roadmap derived from 13 core system documentation files totaling approximately 3,270 lines.</w:t>
      </w:r>
    </w:p>
    <w:p>
      <w:pPr>
        <w:pStyle w:val="Heading1"/>
        <w:pBdr>
          <w:bottom w:val="single" w:color="2E75B6" w:sz="6" w:space="4"/>
        </w:pBdr>
        <w:spacing w:after="200" w:before="360"/>
      </w:pPr>
      <w:r>
        <w:rPr>
          <w:rFonts w:ascii="Arial" w:cs="Arial" w:eastAsia="Arial" w:hAnsi="Arial"/>
          <w:b/>
          <w:bCs/>
          <w:color w:val="1B2A4A"/>
          <w:sz w:val="32"/>
          <w:szCs w:val="32"/>
        </w:rPr>
        <w:t xml:space="preserve">System Architecture</w:t>
      </w:r>
    </w:p>
    <w:p>
      <w:pPr>
        <w:pStyle w:val="Heading2"/>
        <w:spacing w:after="120" w:before="240"/>
      </w:pPr>
      <w:r>
        <w:rPr>
          <w:rFonts w:ascii="Arial" w:cs="Arial" w:eastAsia="Arial" w:hAnsi="Arial"/>
          <w:b/>
          <w:bCs/>
          <w:color w:val="2E75B6"/>
          <w:sz w:val="26"/>
          <w:szCs w:val="26"/>
        </w:rPr>
        <w:t xml:space="preserve">Authority Chain</w:t>
      </w:r>
    </w:p>
    <w:p>
      <w:pPr>
        <w:spacing w:after="160" w:line="276"/>
      </w:pPr>
      <w:r>
        <w:rPr>
          <w:rFonts w:ascii="Arial" w:cs="Arial" w:eastAsia="Arial" w:hAnsi="Arial"/>
          <w:color w:val="333333"/>
          <w:sz w:val="22"/>
          <w:szCs w:val="22"/>
        </w:rPr>
        <w:t xml:space="preserve">The NARTIX ecosystem enforces a strict unidirectional authority chain. NATRIX holds absolute authority and issues directives. NCL receives those directives, chairs council deliberations, and produces mandates. NCC, BRS, and AAC execute mandates and return feedback. Feedback is interpreted by NCL but never treated as raw directive data.</w:t>
      </w:r>
    </w:p>
    <w:p>
      <w:pPr>
        <w:pStyle w:val="Heading2"/>
        <w:spacing w:after="120" w:before="240"/>
      </w:pPr>
      <w:r>
        <w:rPr>
          <w:rFonts w:ascii="Arial" w:cs="Arial" w:eastAsia="Arial" w:hAnsi="Arial"/>
          <w:b/>
          <w:bCs/>
          <w:color w:val="2E75B6"/>
          <w:sz w:val="26"/>
          <w:szCs w:val="26"/>
        </w:rPr>
        <w:t xml:space="preserve">Core Pipeline Flow</w:t>
      </w:r>
    </w:p>
    <w:p>
      <w:pPr>
        <w:spacing w:after="160" w:line="276"/>
      </w:pPr>
      <w:r>
        <w:rPr>
          <w:rFonts w:ascii="Arial" w:cs="Arial" w:eastAsia="Arial" w:hAnsi="Arial"/>
          <w:color w:val="333333"/>
          <w:sz w:val="22"/>
          <w:szCs w:val="22"/>
        </w:rPr>
        <w:t xml:space="preserve">The end-to-end pipeline follows this sequence: iPhone pump prompt arrives via Grok, is relayed through the NCC Relay on port 8787 to the NCL Brain on port 8800. The Brain spawns a council session with five LLM participants, synthesizes their output, and generates mandates. Mandates flow to NCC for execution, with feedback returning through the pipeline for synthesis and mandate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 1</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 2</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 3</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 4</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 5</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 6</w:t>
            </w:r>
          </w:p>
        </w:tc>
      </w:tr>
      <w:tr>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333333"/>
                <w:sz w:val="20"/>
                <w:szCs w:val="20"/>
              </w:rPr>
              <w:t xml:space="preserve">iPhone Pump</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333333"/>
                <w:sz w:val="20"/>
                <w:szCs w:val="20"/>
              </w:rPr>
              <w:t xml:space="preserve">NCC Relay</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333333"/>
                <w:sz w:val="20"/>
                <w:szCs w:val="20"/>
              </w:rPr>
              <w:t xml:space="preserve">NCL Brain</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333333"/>
                <w:sz w:val="20"/>
                <w:szCs w:val="20"/>
              </w:rPr>
              <w:t xml:space="preserve">AI Council</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333333"/>
                <w:sz w:val="20"/>
                <w:szCs w:val="20"/>
              </w:rPr>
              <w:t xml:space="preserve">NCC Dispatch</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333333"/>
                <w:sz w:val="20"/>
                <w:szCs w:val="20"/>
              </w:rPr>
              <w:t xml:space="preserve">Feedback Loop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Grok formats JSON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Validates &amp; logs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Routes &amp; orchestrates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LLMs deliberate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Executes mandates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Returns to NCL</w:t>
            </w:r>
          </w:p>
        </w:tc>
      </w:tr>
    </w:tbl>
    <w:p>
      <w:pPr>
        <w:spacing w:after="200"/>
      </w:pPr>
    </w:p>
    <w:p>
      <w:pPr>
        <w:pStyle w:val="Heading2"/>
        <w:spacing w:after="120" w:before="240"/>
      </w:pPr>
      <w:r>
        <w:rPr>
          <w:rFonts w:ascii="Arial" w:cs="Arial" w:eastAsia="Arial" w:hAnsi="Arial"/>
          <w:b/>
          <w:bCs/>
          <w:color w:val="2E75B6"/>
          <w:sz w:val="26"/>
          <w:szCs w:val="26"/>
        </w:rPr>
        <w:t xml:space="preserve">Technology Stack</w:t>
      </w:r>
    </w:p>
    <w:p>
      <w:pPr>
        <w:pStyle w:val="ListParagraph"/>
        <w:numPr>
          <w:ilvl w:val="0"/>
          <w:numId w:val="2"/>
        </w:numPr>
        <w:spacing w:after="80" w:line="276"/>
      </w:pPr>
      <w:r>
        <w:rPr>
          <w:rFonts w:ascii="Arial" w:cs="Arial" w:eastAsia="Arial" w:hAnsi="Arial"/>
          <w:b/>
          <w:bCs/>
          <w:color w:val="333333"/>
          <w:sz w:val="22"/>
          <w:szCs w:val="22"/>
        </w:rPr>
        <w:t xml:space="preserve">Runtime: </w:t>
      </w:r>
      <w:r>
        <w:rPr>
          <w:rFonts w:ascii="Arial" w:cs="Arial" w:eastAsia="Arial" w:hAnsi="Arial"/>
          <w:color w:val="333333"/>
          <w:sz w:val="22"/>
          <w:szCs w:val="22"/>
        </w:rPr>
        <w:t xml:space="preserve">Python 3.12+, FastAPI, Pydantic, async I/O</w:t>
      </w:r>
    </w:p>
    <w:p>
      <w:pPr>
        <w:pStyle w:val="ListParagraph"/>
        <w:numPr>
          <w:ilvl w:val="0"/>
          <w:numId w:val="2"/>
        </w:numPr>
        <w:spacing w:after="80" w:line="276"/>
      </w:pPr>
      <w:r>
        <w:rPr>
          <w:rFonts w:ascii="Arial" w:cs="Arial" w:eastAsia="Arial" w:hAnsi="Arial"/>
          <w:b/>
          <w:bCs/>
          <w:color w:val="333333"/>
          <w:sz w:val="22"/>
          <w:szCs w:val="22"/>
        </w:rPr>
        <w:t xml:space="preserve">Persistence: </w:t>
      </w:r>
      <w:r>
        <w:rPr>
          <w:rFonts w:ascii="Arial" w:cs="Arial" w:eastAsia="Arial" w:hAnsi="Arial"/>
          <w:color w:val="333333"/>
          <w:sz w:val="22"/>
          <w:szCs w:val="22"/>
        </w:rPr>
        <w:t xml:space="preserve">NDJSON event logs, JSON state files, filesystem-based</w:t>
      </w:r>
    </w:p>
    <w:p>
      <w:pPr>
        <w:pStyle w:val="ListParagraph"/>
        <w:numPr>
          <w:ilvl w:val="0"/>
          <w:numId w:val="2"/>
        </w:numPr>
        <w:spacing w:after="80" w:line="276"/>
      </w:pPr>
      <w:r>
        <w:rPr>
          <w:rFonts w:ascii="Arial" w:cs="Arial" w:eastAsia="Arial" w:hAnsi="Arial"/>
          <w:b/>
          <w:bCs/>
          <w:color w:val="333333"/>
          <w:sz w:val="22"/>
          <w:szCs w:val="22"/>
        </w:rPr>
        <w:t xml:space="preserve">AI Integration: </w:t>
      </w:r>
      <w:r>
        <w:rPr>
          <w:rFonts w:ascii="Arial" w:cs="Arial" w:eastAsia="Arial" w:hAnsi="Arial"/>
          <w:color w:val="333333"/>
          <w:sz w:val="22"/>
          <w:szCs w:val="22"/>
        </w:rPr>
        <w:t xml:space="preserve">Claude (Opus 4.6, council chair), Grok 4, Gemini 3-pro, Perplexity sonar-pro, GPT</w:t>
      </w:r>
    </w:p>
    <w:p>
      <w:pPr>
        <w:pStyle w:val="ListParagraph"/>
        <w:numPr>
          <w:ilvl w:val="0"/>
          <w:numId w:val="2"/>
        </w:numPr>
        <w:spacing w:after="80" w:line="276"/>
      </w:pPr>
      <w:r>
        <w:rPr>
          <w:rFonts w:ascii="Arial" w:cs="Arial" w:eastAsia="Arial" w:hAnsi="Arial"/>
          <w:b/>
          <w:bCs/>
          <w:color w:val="333333"/>
          <w:sz w:val="22"/>
          <w:szCs w:val="22"/>
        </w:rPr>
        <w:t xml:space="preserve">Fallback: </w:t>
      </w:r>
      <w:r>
        <w:rPr>
          <w:rFonts w:ascii="Arial" w:cs="Arial" w:eastAsia="Arial" w:hAnsi="Arial"/>
          <w:color w:val="333333"/>
          <w:sz w:val="22"/>
          <w:szCs w:val="22"/>
        </w:rPr>
        <w:t xml:space="preserve">Ollama local models when API calls fail</w:t>
      </w:r>
    </w:p>
    <w:p>
      <w:pPr>
        <w:pStyle w:val="ListParagraph"/>
        <w:numPr>
          <w:ilvl w:val="0"/>
          <w:numId w:val="2"/>
        </w:numPr>
        <w:spacing w:after="80" w:line="276"/>
      </w:pPr>
      <w:r>
        <w:rPr>
          <w:rFonts w:ascii="Arial" w:cs="Arial" w:eastAsia="Arial" w:hAnsi="Arial"/>
          <w:b/>
          <w:bCs/>
          <w:color w:val="333333"/>
          <w:sz w:val="22"/>
          <w:szCs w:val="22"/>
        </w:rPr>
        <w:t xml:space="preserve">Orchestration: </w:t>
      </w:r>
      <w:r>
        <w:rPr>
          <w:rFonts w:ascii="Arial" w:cs="Arial" w:eastAsia="Arial" w:hAnsi="Arial"/>
          <w:color w:val="333333"/>
          <w:sz w:val="22"/>
          <w:szCs w:val="22"/>
        </w:rPr>
        <w:t xml:space="preserve">Paperclip agent framework with cost tracking</w:t>
      </w:r>
    </w:p>
    <w:p>
      <w:pPr>
        <w:pStyle w:val="ListParagraph"/>
        <w:numPr>
          <w:ilvl w:val="0"/>
          <w:numId w:val="2"/>
        </w:numPr>
        <w:spacing w:after="80" w:line="276"/>
      </w:pPr>
      <w:r>
        <w:rPr>
          <w:rFonts w:ascii="Arial" w:cs="Arial" w:eastAsia="Arial" w:hAnsi="Arial"/>
          <w:b/>
          <w:bCs/>
          <w:color w:val="333333"/>
          <w:sz w:val="22"/>
          <w:szCs w:val="22"/>
        </w:rPr>
        <w:t xml:space="preserve">Deployment: </w:t>
      </w:r>
      <w:r>
        <w:rPr>
          <w:rFonts w:ascii="Arial" w:cs="Arial" w:eastAsia="Arial" w:hAnsi="Arial"/>
          <w:color w:val="333333"/>
          <w:sz w:val="22"/>
          <w:szCs w:val="22"/>
        </w:rPr>
        <w:t xml:space="preserve">Docker-ready with launchd daemon support on Mac Mini M4 Pro</w:t>
      </w:r>
    </w:p>
    <w:p>
      <w:pPr>
        <w:pStyle w:val="ListParagraph"/>
        <w:numPr>
          <w:ilvl w:val="0"/>
          <w:numId w:val="2"/>
        </w:numPr>
        <w:spacing w:after="80" w:line="276"/>
      </w:pPr>
      <w:r>
        <w:rPr>
          <w:rFonts w:ascii="Arial" w:cs="Arial" w:eastAsia="Arial" w:hAnsi="Arial"/>
          <w:b/>
          <w:bCs/>
          <w:color w:val="333333"/>
          <w:sz w:val="22"/>
          <w:szCs w:val="22"/>
        </w:rPr>
        <w:t xml:space="preserve">Governance: </w:t>
      </w:r>
      <w:r>
        <w:rPr>
          <w:rFonts w:ascii="Arial" w:cs="Arial" w:eastAsia="Arial" w:hAnsi="Arial"/>
          <w:color w:val="333333"/>
          <w:sz w:val="22"/>
          <w:szCs w:val="22"/>
        </w:rPr>
        <w:t xml:space="preserve">MWP folder structure with YAML contracts and audit trails</w:t>
      </w:r>
    </w:p>
    <w:p>
      <w:r>
        <w:br w:type="page"/>
      </w:r>
    </w:p>
    <w:p>
      <w:pPr>
        <w:pStyle w:val="Heading1"/>
        <w:pBdr>
          <w:bottom w:val="single" w:color="2E75B6" w:sz="6" w:space="4"/>
        </w:pBdr>
        <w:spacing w:after="200" w:before="360"/>
      </w:pPr>
      <w:r>
        <w:rPr>
          <w:rFonts w:ascii="Arial" w:cs="Arial" w:eastAsia="Arial" w:hAnsi="Arial"/>
          <w:b/>
          <w:bCs/>
          <w:color w:val="1B2A4A"/>
          <w:sz w:val="32"/>
          <w:szCs w:val="32"/>
        </w:rPr>
        <w:t xml:space="preserve">Service Topology</w:t>
      </w:r>
    </w:p>
    <w:p>
      <w:pPr>
        <w:spacing w:after="160" w:line="276"/>
      </w:pPr>
      <w:r>
        <w:rPr>
          <w:rFonts w:ascii="Arial" w:cs="Arial" w:eastAsia="Arial" w:hAnsi="Arial"/>
          <w:color w:val="333333"/>
          <w:sz w:val="22"/>
          <w:szCs w:val="22"/>
        </w:rPr>
        <w:t xml:space="preserve">The NCL stack runs 8 microservices, each with dedicated ports and health endpoints. All services are managed by the start-all.sh launcher and monitored through the server-side /services/status proxy to avoid CORS issues in the browser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360"/>
        <w:gridCol w:w="1400"/>
        <w:gridCol w:w="1400"/>
        <w:gridCol w:w="14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 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NCL Brain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8800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~/dev/NCL/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ONLINE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uvicorn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NCC Relay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8787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~/dev/NCC-Doctrine/runtime/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ONLINE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relay_server.py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NCC Master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8765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~/dev/NCC-Doctrine/runtime/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ONLINE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ncc_command_api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One-Drop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8123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~/dev/NCC-Doctrine/backend/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ONLINE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api.main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AAC Monitor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8080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~/dev/AAC/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ONLINE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health_server.py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BRS Dashboard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Inline (start-all.sh)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Stub</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ONLINE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FastAPI inline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Paperclip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3100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Inline (start-all.sh)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Stub</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ONLINE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FastAPI inline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Ollama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11434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binary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External</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ONLINE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ollama serve</w:t>
            </w:r>
          </w:p>
        </w:tc>
      </w:tr>
    </w:tbl>
    <w:p>
      <w:pPr>
        <w:spacing w:after="200"/>
      </w:pPr>
    </w:p>
    <w:p>
      <w:pPr>
        <w:pStyle w:val="Heading2"/>
        <w:spacing w:after="120" w:before="240"/>
      </w:pPr>
      <w:r>
        <w:rPr>
          <w:rFonts w:ascii="Arial" w:cs="Arial" w:eastAsia="Arial" w:hAnsi="Arial"/>
          <w:b/>
          <w:bCs/>
          <w:color w:val="2E75B6"/>
          <w:sz w:val="26"/>
          <w:szCs w:val="26"/>
        </w:rPr>
        <w:t xml:space="preserve">Dashboard Views</w:t>
      </w:r>
    </w:p>
    <w:p>
      <w:pPr>
        <w:pStyle w:val="ListParagraph"/>
        <w:numPr>
          <w:ilvl w:val="0"/>
          <w:numId w:val="2"/>
        </w:numPr>
        <w:spacing w:after="80" w:line="276"/>
      </w:pPr>
      <w:r>
        <w:rPr>
          <w:rFonts w:ascii="Arial" w:cs="Arial" w:eastAsia="Arial" w:hAnsi="Arial"/>
          <w:b/>
          <w:bCs/>
          <w:color w:val="333333"/>
          <w:sz w:val="22"/>
          <w:szCs w:val="22"/>
        </w:rPr>
        <w:t xml:space="preserve">Pipeline Dashboard: </w:t>
      </w:r>
      <w:r>
        <w:rPr>
          <w:rFonts w:ascii="Arial" w:cs="Arial" w:eastAsia="Arial" w:hAnsi="Arial"/>
          <w:color w:val="333333"/>
          <w:sz w:val="22"/>
          <w:szCs w:val="22"/>
        </w:rPr>
        <w:t xml:space="preserve">http://localhost:8800/dashboard/ui — Service status, pipeline metrics, council activity</w:t>
      </w:r>
    </w:p>
    <w:p>
      <w:pPr>
        <w:pStyle w:val="ListParagraph"/>
        <w:numPr>
          <w:ilvl w:val="0"/>
          <w:numId w:val="2"/>
        </w:numPr>
        <w:spacing w:after="80" w:line="276"/>
      </w:pPr>
      <w:r>
        <w:rPr>
          <w:rFonts w:ascii="Arial" w:cs="Arial" w:eastAsia="Arial" w:hAnsi="Arial"/>
          <w:b/>
          <w:bCs/>
          <w:color w:val="333333"/>
          <w:sz w:val="22"/>
          <w:szCs w:val="22"/>
        </w:rPr>
        <w:t xml:space="preserve">Review Queue: </w:t>
      </w:r>
      <w:r>
        <w:rPr>
          <w:rFonts w:ascii="Arial" w:cs="Arial" w:eastAsia="Arial" w:hAnsi="Arial"/>
          <w:color w:val="333333"/>
          <w:sz w:val="22"/>
          <w:szCs w:val="22"/>
        </w:rPr>
        <w:t xml:space="preserve">http://localhost:8800/review-queue/dashboard — Pending approvals and mandate reviews</w:t>
      </w:r>
    </w:p>
    <w:p>
      <w:pPr>
        <w:pStyle w:val="ListParagraph"/>
        <w:numPr>
          <w:ilvl w:val="0"/>
          <w:numId w:val="2"/>
        </w:numPr>
        <w:spacing w:after="80" w:line="276"/>
      </w:pPr>
      <w:r>
        <w:rPr>
          <w:rFonts w:ascii="Arial" w:cs="Arial" w:eastAsia="Arial" w:hAnsi="Arial"/>
          <w:b/>
          <w:bCs/>
          <w:color w:val="333333"/>
          <w:sz w:val="22"/>
          <w:szCs w:val="22"/>
        </w:rPr>
        <w:t xml:space="preserve">Memory Dashboard: </w:t>
      </w:r>
      <w:r>
        <w:rPr>
          <w:rFonts w:ascii="Arial" w:cs="Arial" w:eastAsia="Arial" w:hAnsi="Arial"/>
          <w:color w:val="333333"/>
          <w:sz w:val="22"/>
          <w:szCs w:val="22"/>
        </w:rPr>
        <w:t xml:space="preserve">http://localhost:8800/memory/dashboard — Memory lifecycle, decay metrics, reinforcement</w:t>
      </w:r>
    </w:p>
    <w:p>
      <w:pPr>
        <w:pStyle w:val="ListParagraph"/>
        <w:numPr>
          <w:ilvl w:val="0"/>
          <w:numId w:val="2"/>
        </w:numPr>
        <w:spacing w:after="80" w:line="276"/>
      </w:pPr>
      <w:r>
        <w:rPr>
          <w:rFonts w:ascii="Arial" w:cs="Arial" w:eastAsia="Arial" w:hAnsi="Arial"/>
          <w:b/>
          <w:bCs/>
          <w:color w:val="333333"/>
          <w:sz w:val="22"/>
          <w:szCs w:val="22"/>
        </w:rPr>
        <w:t xml:space="preserve">Swagger UI: </w:t>
      </w:r>
      <w:r>
        <w:rPr>
          <w:rFonts w:ascii="Arial" w:cs="Arial" w:eastAsia="Arial" w:hAnsi="Arial"/>
          <w:color w:val="333333"/>
          <w:sz w:val="22"/>
          <w:szCs w:val="22"/>
        </w:rPr>
        <w:t xml:space="preserve">http://localhost:8800/docs — Full API reference with 103+ endpoints</w:t>
      </w:r>
    </w:p>
    <w:p>
      <w:r>
        <w:br w:type="page"/>
      </w:r>
    </w:p>
    <w:p>
      <w:pPr>
        <w:pStyle w:val="Heading1"/>
        <w:pBdr>
          <w:bottom w:val="single" w:color="2E75B6" w:sz="6" w:space="4"/>
        </w:pBdr>
        <w:spacing w:after="200" w:before="360"/>
      </w:pPr>
      <w:r>
        <w:rPr>
          <w:rFonts w:ascii="Arial" w:cs="Arial" w:eastAsia="Arial" w:hAnsi="Arial"/>
          <w:b/>
          <w:bCs/>
          <w:color w:val="1B2A4A"/>
          <w:sz w:val="32"/>
          <w:szCs w:val="32"/>
        </w:rPr>
        <w:t xml:space="preserve">Core Components</w:t>
      </w:r>
    </w:p>
    <w:p>
      <w:pPr>
        <w:pStyle w:val="Heading2"/>
        <w:spacing w:after="120" w:before="240"/>
      </w:pPr>
      <w:r>
        <w:rPr>
          <w:rFonts w:ascii="Arial" w:cs="Arial" w:eastAsia="Arial" w:hAnsi="Arial"/>
          <w:b/>
          <w:bCs/>
          <w:color w:val="2E75B6"/>
          <w:sz w:val="26"/>
          <w:szCs w:val="26"/>
        </w:rPr>
        <w:t xml:space="preserve">NCL Brain (Orchestrator)</w:t>
      </w:r>
    </w:p>
    <w:p>
      <w:pPr>
        <w:spacing w:after="160" w:line="276"/>
      </w:pPr>
      <w:r>
        <w:rPr>
          <w:rFonts w:ascii="Arial" w:cs="Arial" w:eastAsia="Arial" w:hAnsi="Arial"/>
          <w:color w:val="333333"/>
          <w:sz w:val="22"/>
          <w:szCs w:val="22"/>
        </w:rPr>
        <w:t xml:space="preserve">The central orchestrator receives pump prompts, routes them to appropriate workspaces, spawns council sessions, and manages the mandate lifecycle. It runs as a FastAPI application with uvicorn and hot-reload, exposing 103+ endpoints across pipeline management, council operations, memory, feedback, review queues, and service monitoring.</w:t>
      </w:r>
    </w:p>
    <w:p>
      <w:pPr>
        <w:pStyle w:val="Heading2"/>
        <w:spacing w:after="120" w:before="240"/>
      </w:pPr>
      <w:r>
        <w:rPr>
          <w:rFonts w:ascii="Arial" w:cs="Arial" w:eastAsia="Arial" w:hAnsi="Arial"/>
          <w:b/>
          <w:bCs/>
          <w:color w:val="2E75B6"/>
          <w:sz w:val="26"/>
          <w:szCs w:val="26"/>
        </w:rPr>
        <w:t xml:space="preserve">Council Engine</w:t>
      </w:r>
    </w:p>
    <w:p>
      <w:pPr>
        <w:spacing w:after="160" w:line="276"/>
      </w:pPr>
      <w:r>
        <w:rPr>
          <w:rFonts w:ascii="Arial" w:cs="Arial" w:eastAsia="Arial" w:hAnsi="Arial"/>
          <w:color w:val="333333"/>
          <w:sz w:val="22"/>
          <w:szCs w:val="22"/>
        </w:rPr>
        <w:t xml:space="preserve">The multi-AI deliberation system seats Claude (Opus 4.6) as permanent chair with four rotating members: Grok 4 for real-time intelligence, Gemini 3-pro for trends analysis, Perplexity sonar-pro for research and fact-checking, and GPT for general synthesis. Councils run 15–30 minute deliberation cycles with structured rounds, producing synthesized recommendations with confidence scores. Failed API calls fall back to Ollama local models. Typical council latency is 30–60 seconds.</w:t>
      </w:r>
    </w:p>
    <w:p>
      <w:pPr>
        <w:pStyle w:val="Heading2"/>
        <w:spacing w:after="120" w:before="240"/>
      </w:pPr>
      <w:r>
        <w:rPr>
          <w:rFonts w:ascii="Arial" w:cs="Arial" w:eastAsia="Arial" w:hAnsi="Arial"/>
          <w:b/>
          <w:bCs/>
          <w:color w:val="2E75B6"/>
          <w:sz w:val="26"/>
          <w:szCs w:val="26"/>
        </w:rPr>
        <w:t xml:space="preserve">Memory Store</w:t>
      </w:r>
    </w:p>
    <w:p>
      <w:pPr>
        <w:spacing w:after="160" w:line="276"/>
      </w:pPr>
      <w:r>
        <w:rPr>
          <w:rFonts w:ascii="Arial" w:cs="Arial" w:eastAsia="Arial" w:hAnsi="Arial"/>
          <w:color w:val="333333"/>
          <w:sz w:val="22"/>
          <w:szCs w:val="22"/>
        </w:rPr>
        <w:t xml:space="preserve">A three-phase lifecycle system manages institutional memory: episodic (raw events), semantic (extracted meaning), and reconstructive (consolidated knowledge). Memory units undergo exponential decay at a 0.95 daily rate, with reinforcement on access (+10% importance boost). Search operates under 100ms. The system handles contradiction detection and schema-enforced validation.</w:t>
      </w:r>
    </w:p>
    <w:p>
      <w:pPr>
        <w:pStyle w:val="Heading2"/>
        <w:spacing w:after="120" w:before="240"/>
      </w:pPr>
      <w:r>
        <w:rPr>
          <w:rFonts w:ascii="Arial" w:cs="Arial" w:eastAsia="Arial" w:hAnsi="Arial"/>
          <w:b/>
          <w:bCs/>
          <w:color w:val="2E75B6"/>
          <w:sz w:val="26"/>
          <w:szCs w:val="26"/>
        </w:rPr>
        <w:t xml:space="preserve">Awarebot-FPC (Intelligence)</w:t>
      </w:r>
    </w:p>
    <w:p>
      <w:pPr>
        <w:spacing w:after="160" w:line="276"/>
      </w:pPr>
      <w:r>
        <w:rPr>
          <w:rFonts w:ascii="Arial" w:cs="Arial" w:eastAsia="Arial" w:hAnsi="Arial"/>
          <w:color w:val="333333"/>
          <w:sz w:val="22"/>
          <w:szCs w:val="22"/>
        </w:rPr>
        <w:t xml:space="preserve">The intelligence subsystem comprises two modules. The Scanner monitors X (Twitter), YouTube, and Reddit for signals matching configured interests, scoring by importance. The Future Predictor runs ensemble forecasting with convergence detection across multiple models. Scan latency is 10–20 seconds; prediction runs 45–90 seconds.</w:t>
      </w:r>
    </w:p>
    <w:p>
      <w:pPr>
        <w:pStyle w:val="Heading2"/>
        <w:spacing w:after="120" w:before="240"/>
      </w:pPr>
      <w:r>
        <w:rPr>
          <w:rFonts w:ascii="Arial" w:cs="Arial" w:eastAsia="Arial" w:hAnsi="Arial"/>
          <w:b/>
          <w:bCs/>
          <w:color w:val="2E75B6"/>
          <w:sz w:val="26"/>
          <w:szCs w:val="26"/>
        </w:rPr>
        <w:t xml:space="preserve">Paperclip Integration</w:t>
      </w:r>
    </w:p>
    <w:p>
      <w:pPr>
        <w:spacing w:after="160" w:line="276"/>
      </w:pPr>
      <w:r>
        <w:rPr>
          <w:rFonts w:ascii="Arial" w:cs="Arial" w:eastAsia="Arial" w:hAnsi="Arial"/>
          <w:color w:val="333333"/>
          <w:sz w:val="22"/>
          <w:szCs w:val="22"/>
        </w:rPr>
        <w:t xml:space="preserve">NCL registers with the Paperclip agent framework as a company with five sub-agents: NCL (brain), UNI (research), Awarebot-FPC (intelligence), Strategy and Doctrine, and Memory and Context. Paperclip provides issue tracking, activity logging, cost tracking with monthly budget caps per agent (80% flag for review, 100% hard stop), and cross-pillar orchestration.</w:t>
      </w:r>
    </w:p>
    <w:p>
      <w:r>
        <w:br w:type="page"/>
      </w:r>
    </w:p>
    <w:p>
      <w:pPr>
        <w:pStyle w:val="Heading1"/>
        <w:pBdr>
          <w:bottom w:val="single" w:color="2E75B6" w:sz="6" w:space="4"/>
        </w:pBdr>
        <w:spacing w:after="200" w:before="360"/>
      </w:pPr>
      <w:r>
        <w:rPr>
          <w:rFonts w:ascii="Arial" w:cs="Arial" w:eastAsia="Arial" w:hAnsi="Arial"/>
          <w:b/>
          <w:bCs/>
          <w:color w:val="1B2A4A"/>
          <w:sz w:val="32"/>
          <w:szCs w:val="32"/>
        </w:rPr>
        <w:t xml:space="preserve">Active Mandates</w:t>
      </w:r>
    </w:p>
    <w:p>
      <w:pPr>
        <w:spacing w:after="160" w:line="276"/>
      </w:pPr>
      <w:r>
        <w:rPr>
          <w:rFonts w:ascii="Arial" w:cs="Arial" w:eastAsia="Arial" w:hAnsi="Arial"/>
          <w:color w:val="333333"/>
          <w:sz w:val="22"/>
          <w:szCs w:val="22"/>
        </w:rPr>
        <w:t xml:space="preserve">Eight mandates are currently active across the NARTIX ecosystem. The priority stack places infrastructure first, followed by capital deployment, revenue generation, and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800"/>
        <w:gridCol w:w="1360"/>
        <w:gridCol w:w="1400"/>
        <w:gridCol w:w="20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M-2026-008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STRIKE-POINT Pipeline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P1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NCL/NCC</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1 done, Phase 2 active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M-2026-001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DIGITAL-LABOUR Revenue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P1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EXECUTING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Alpha v0.1, Apr 15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M-2026-005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AAC War Room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P1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AAC</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EXECUTING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trading, Apr 30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M-2026-004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QUASAR IDE v0.1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P1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NCC</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EXECUTING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Beta launch, May 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M-2026-003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Crimson Compass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P1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EXECUTING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Game development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M-2026-006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DUBFORGE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856404"/>
                <w:sz w:val="20"/>
                <w:szCs w:val="20"/>
              </w:rPr>
              <w:t xml:space="preserve">P2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EXECUTING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Music production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M-2026-002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 Research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856404"/>
                <w:sz w:val="20"/>
                <w:szCs w:val="20"/>
              </w:rPr>
              <w:t xml:space="preserve">P2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NCL</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EXECUTING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Research pipeline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M-2026-007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Awarebot-FPC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856404"/>
                <w:sz w:val="20"/>
                <w:szCs w:val="20"/>
              </w:rPr>
              <w:t xml:space="preserve">P2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NCL</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EXECUTING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Intelligence system</w:t>
            </w:r>
          </w:p>
        </w:tc>
      </w:tr>
    </w:tbl>
    <w:p>
      <w:pPr>
        <w:spacing w:after="200"/>
      </w:pPr>
    </w:p>
    <w:p>
      <w:pPr>
        <w:pStyle w:val="Heading2"/>
        <w:spacing w:after="120" w:before="240"/>
      </w:pPr>
      <w:r>
        <w:rPr>
          <w:rFonts w:ascii="Arial" w:cs="Arial" w:eastAsia="Arial" w:hAnsi="Arial"/>
          <w:b/>
          <w:bCs/>
          <w:color w:val="2E75B6"/>
          <w:sz w:val="26"/>
          <w:szCs w:val="26"/>
        </w:rPr>
        <w:t xml:space="preserve">Priority Stack</w:t>
      </w:r>
    </w:p>
    <w:p>
      <w:pPr>
        <w:spacing w:after="160" w:line="276"/>
      </w:pPr>
      <w:r>
        <w:rPr>
          <w:rFonts w:ascii="Arial" w:cs="Arial" w:eastAsia="Arial" w:hAnsi="Arial"/>
          <w:color w:val="333333"/>
          <w:sz w:val="22"/>
          <w:szCs w:val="22"/>
        </w:rPr>
        <w:t xml:space="preserve">STRIKE-POINT (infrastructure) gates all other mandates and is the highest priority. AAC War Room follows as the capital deployment engine at 74% accuracy. DIGITAL-LABOUR represents the first real revenue stream. QUASAR provides developer tooling. Remaining mandates execute at P1–P2 levels with weekly strategic reviews and 4-hour escalation for blockers.</w:t>
      </w:r>
    </w:p>
    <w:p>
      <w:r>
        <w:br w:type="page"/>
      </w:r>
    </w:p>
    <w:p>
      <w:pPr>
        <w:pStyle w:val="Heading1"/>
        <w:pBdr>
          <w:bottom w:val="single" w:color="2E75B6" w:sz="6" w:space="4"/>
        </w:pBdr>
        <w:spacing w:after="200" w:before="360"/>
      </w:pPr>
      <w:r>
        <w:rPr>
          <w:rFonts w:ascii="Arial" w:cs="Arial" w:eastAsia="Arial" w:hAnsi="Arial"/>
          <w:b/>
          <w:bCs/>
          <w:color w:val="1B2A4A"/>
          <w:sz w:val="32"/>
          <w:szCs w:val="32"/>
        </w:rPr>
        <w:t xml:space="preserve">Agent Definitions</w:t>
      </w:r>
    </w:p>
    <w:p>
      <w:pPr>
        <w:pStyle w:val="Heading2"/>
        <w:spacing w:after="120" w:before="240"/>
      </w:pPr>
      <w:r>
        <w:rPr>
          <w:rFonts w:ascii="Arial" w:cs="Arial" w:eastAsia="Arial" w:hAnsi="Arial"/>
          <w:b/>
          <w:bCs/>
          <w:color w:val="2E75B6"/>
          <w:sz w:val="26"/>
          <w:szCs w:val="26"/>
        </w:rPr>
        <w:t xml:space="preserve">Council Agents</w:t>
      </w:r>
    </w:p>
    <w:p>
      <w:pPr>
        <w:pStyle w:val="ListParagraph"/>
        <w:numPr>
          <w:ilvl w:val="0"/>
          <w:numId w:val="2"/>
        </w:numPr>
        <w:spacing w:after="80" w:line="276"/>
      </w:pPr>
      <w:r>
        <w:rPr>
          <w:rFonts w:ascii="Arial" w:cs="Arial" w:eastAsia="Arial" w:hAnsi="Arial"/>
          <w:b/>
          <w:bCs/>
          <w:color w:val="333333"/>
          <w:sz w:val="22"/>
          <w:szCs w:val="22"/>
        </w:rPr>
        <w:t xml:space="preserve">Claude-Chair (Opus 4.6): </w:t>
      </w:r>
      <w:r>
        <w:rPr>
          <w:rFonts w:ascii="Arial" w:cs="Arial" w:eastAsia="Arial" w:hAnsi="Arial"/>
          <w:color w:val="333333"/>
          <w:sz w:val="22"/>
          <w:szCs w:val="22"/>
        </w:rPr>
        <w:t xml:space="preserve">Permanent council moderator. Synthesizes multi-LLM debate, produces mandates with confidence scores.</w:t>
      </w:r>
    </w:p>
    <w:p>
      <w:pPr>
        <w:pStyle w:val="ListParagraph"/>
        <w:numPr>
          <w:ilvl w:val="0"/>
          <w:numId w:val="2"/>
        </w:numPr>
        <w:spacing w:after="80" w:line="276"/>
      </w:pPr>
      <w:r>
        <w:rPr>
          <w:rFonts w:ascii="Arial" w:cs="Arial" w:eastAsia="Arial" w:hAnsi="Arial"/>
          <w:b/>
          <w:bCs/>
          <w:color w:val="333333"/>
          <w:sz w:val="22"/>
          <w:szCs w:val="22"/>
        </w:rPr>
        <w:t xml:space="preserve">UNI Researcher (Perplexity sonar-pro): </w:t>
      </w:r>
      <w:r>
        <w:rPr>
          <w:rFonts w:ascii="Arial" w:cs="Arial" w:eastAsia="Arial" w:hAnsi="Arial"/>
          <w:color w:val="333333"/>
          <w:sz w:val="22"/>
          <w:szCs w:val="22"/>
        </w:rPr>
        <w:t xml:space="preserve">Fact-checking, research convergence detection, knowledge synthesis.</w:t>
      </w:r>
    </w:p>
    <w:p>
      <w:pPr>
        <w:pStyle w:val="ListParagraph"/>
        <w:numPr>
          <w:ilvl w:val="0"/>
          <w:numId w:val="2"/>
        </w:numPr>
        <w:spacing w:after="80" w:line="276"/>
      </w:pPr>
      <w:r>
        <w:rPr>
          <w:rFonts w:ascii="Arial" w:cs="Arial" w:eastAsia="Arial" w:hAnsi="Arial"/>
          <w:b/>
          <w:bCs/>
          <w:color w:val="333333"/>
          <w:sz w:val="22"/>
          <w:szCs w:val="22"/>
        </w:rPr>
        <w:t xml:space="preserve">TrendsAnalyst (Gemini 3-pro): </w:t>
      </w:r>
      <w:r>
        <w:rPr>
          <w:rFonts w:ascii="Arial" w:cs="Arial" w:eastAsia="Arial" w:hAnsi="Arial"/>
          <w:color w:val="333333"/>
          <w:sz w:val="22"/>
          <w:szCs w:val="22"/>
        </w:rPr>
        <w:t xml:space="preserve">YouTube, News, and Google Trends analysis for signal detection.</w:t>
      </w:r>
    </w:p>
    <w:p>
      <w:pPr>
        <w:pStyle w:val="ListParagraph"/>
        <w:numPr>
          <w:ilvl w:val="0"/>
          <w:numId w:val="2"/>
        </w:numPr>
        <w:spacing w:after="80" w:line="276"/>
      </w:pPr>
      <w:r>
        <w:rPr>
          <w:rFonts w:ascii="Arial" w:cs="Arial" w:eastAsia="Arial" w:hAnsi="Arial"/>
          <w:b/>
          <w:bCs/>
          <w:color w:val="333333"/>
          <w:sz w:val="22"/>
          <w:szCs w:val="22"/>
        </w:rPr>
        <w:t xml:space="preserve">IntelScanner / Awarebot-FPC (Grok 4 + X): </w:t>
      </w:r>
      <w:r>
        <w:rPr>
          <w:rFonts w:ascii="Arial" w:cs="Arial" w:eastAsia="Arial" w:hAnsi="Arial"/>
          <w:color w:val="333333"/>
          <w:sz w:val="22"/>
          <w:szCs w:val="22"/>
        </w:rPr>
        <w:t xml:space="preserve">Real-time monitoring across X, YouTube, and Reddit with importance scoring.</w:t>
      </w:r>
    </w:p>
    <w:p>
      <w:pPr>
        <w:pStyle w:val="Heading2"/>
        <w:spacing w:after="120" w:before="240"/>
      </w:pPr>
      <w:r>
        <w:rPr>
          <w:rFonts w:ascii="Arial" w:cs="Arial" w:eastAsia="Arial" w:hAnsi="Arial"/>
          <w:b/>
          <w:bCs/>
          <w:color w:val="2E75B6"/>
          <w:sz w:val="26"/>
          <w:szCs w:val="26"/>
        </w:rPr>
        <w:t xml:space="preserve">Operational Agents</w:t>
      </w:r>
    </w:p>
    <w:p>
      <w:pPr>
        <w:pStyle w:val="ListParagraph"/>
        <w:numPr>
          <w:ilvl w:val="0"/>
          <w:numId w:val="2"/>
        </w:numPr>
        <w:spacing w:after="80" w:line="276"/>
      </w:pPr>
      <w:r>
        <w:rPr>
          <w:rFonts w:ascii="Arial" w:cs="Arial" w:eastAsia="Arial" w:hAnsi="Arial"/>
          <w:b/>
          <w:bCs/>
          <w:color w:val="333333"/>
          <w:sz w:val="22"/>
          <w:szCs w:val="22"/>
        </w:rPr>
        <w:t xml:space="preserve">Engineer / NCC: </w:t>
      </w:r>
      <w:r>
        <w:rPr>
          <w:rFonts w:ascii="Arial" w:cs="Arial" w:eastAsia="Arial" w:hAnsi="Arial"/>
          <w:color w:val="333333"/>
          <w:sz w:val="22"/>
          <w:szCs w:val="22"/>
        </w:rPr>
        <w:t xml:space="preserve">Claude + Computer Use for deployment, execution truth, and build verification.</w:t>
      </w:r>
    </w:p>
    <w:p>
      <w:pPr>
        <w:pStyle w:val="ListParagraph"/>
        <w:numPr>
          <w:ilvl w:val="0"/>
          <w:numId w:val="2"/>
        </w:numPr>
        <w:spacing w:after="80" w:line="276"/>
      </w:pPr>
      <w:r>
        <w:rPr>
          <w:rFonts w:ascii="Arial" w:cs="Arial" w:eastAsia="Arial" w:hAnsi="Arial"/>
          <w:b/>
          <w:bCs/>
          <w:color w:val="333333"/>
          <w:sz w:val="22"/>
          <w:szCs w:val="22"/>
        </w:rPr>
        <w:t xml:space="preserve">WarRoomAnalyst / AAC: </w:t>
      </w:r>
      <w:r>
        <w:rPr>
          <w:rFonts w:ascii="Arial" w:cs="Arial" w:eastAsia="Arial" w:hAnsi="Arial"/>
          <w:color w:val="333333"/>
          <w:sz w:val="22"/>
          <w:szCs w:val="22"/>
        </w:rPr>
        <w:t xml:space="preserve">Scenario analysis, position sizing, and capital performance tracking.</w:t>
      </w:r>
    </w:p>
    <w:p>
      <w:pPr>
        <w:pStyle w:val="ListParagraph"/>
        <w:numPr>
          <w:ilvl w:val="0"/>
          <w:numId w:val="2"/>
        </w:numPr>
        <w:spacing w:after="80" w:line="276"/>
      </w:pPr>
      <w:r>
        <w:rPr>
          <w:rFonts w:ascii="Arial" w:cs="Arial" w:eastAsia="Arial" w:hAnsi="Arial"/>
          <w:b/>
          <w:bCs/>
          <w:color w:val="333333"/>
          <w:sz w:val="22"/>
          <w:szCs w:val="22"/>
        </w:rPr>
        <w:t xml:space="preserve">RevenueAgent / BRS: </w:t>
      </w:r>
      <w:r>
        <w:rPr>
          <w:rFonts w:ascii="Arial" w:cs="Arial" w:eastAsia="Arial" w:hAnsi="Arial"/>
          <w:color w:val="333333"/>
          <w:sz w:val="22"/>
          <w:szCs w:val="22"/>
        </w:rPr>
        <w:t xml:space="preserve">DIGITAL-LABOUR operations, revenue reporting, and economic signal processing.</w:t>
      </w:r>
    </w:p>
    <w:p>
      <w:pPr>
        <w:pStyle w:val="Heading2"/>
        <w:spacing w:after="120" w:before="240"/>
      </w:pPr>
      <w:r>
        <w:rPr>
          <w:rFonts w:ascii="Arial" w:cs="Arial" w:eastAsia="Arial" w:hAnsi="Arial"/>
          <w:b/>
          <w:bCs/>
          <w:color w:val="2E75B6"/>
          <w:sz w:val="26"/>
          <w:szCs w:val="26"/>
        </w:rPr>
        <w:t xml:space="preserve">Intelligence Councils</w:t>
      </w:r>
    </w:p>
    <w:p>
      <w:pPr>
        <w:pStyle w:val="ListParagraph"/>
        <w:numPr>
          <w:ilvl w:val="0"/>
          <w:numId w:val="2"/>
        </w:numPr>
        <w:spacing w:after="80" w:line="276"/>
      </w:pPr>
      <w:r>
        <w:rPr>
          <w:rFonts w:ascii="Arial" w:cs="Arial" w:eastAsia="Arial" w:hAnsi="Arial"/>
          <w:b/>
          <w:bCs/>
          <w:color w:val="333333"/>
          <w:sz w:val="22"/>
          <w:szCs w:val="22"/>
        </w:rPr>
        <w:t xml:space="preserve">YouTubeCouncil: </w:t>
      </w:r>
      <w:r>
        <w:rPr>
          <w:rFonts w:ascii="Arial" w:cs="Arial" w:eastAsia="Arial" w:hAnsi="Arial"/>
          <w:color w:val="333333"/>
          <w:sz w:val="22"/>
          <w:szCs w:val="22"/>
        </w:rPr>
        <w:t xml:space="preserve">Scrape, download, transcribe, and analyze video content for strategic insights.</w:t>
      </w:r>
    </w:p>
    <w:p>
      <w:pPr>
        <w:pStyle w:val="ListParagraph"/>
        <w:numPr>
          <w:ilvl w:val="0"/>
          <w:numId w:val="2"/>
        </w:numPr>
        <w:spacing w:after="80" w:line="276"/>
      </w:pPr>
      <w:r>
        <w:rPr>
          <w:rFonts w:ascii="Arial" w:cs="Arial" w:eastAsia="Arial" w:hAnsi="Arial"/>
          <w:b/>
          <w:bCs/>
          <w:color w:val="333333"/>
          <w:sz w:val="22"/>
          <w:szCs w:val="22"/>
        </w:rPr>
        <w:t xml:space="preserve">XCouncil: </w:t>
      </w:r>
      <w:r>
        <w:rPr>
          <w:rFonts w:ascii="Arial" w:cs="Arial" w:eastAsia="Arial" w:hAnsi="Arial"/>
          <w:color w:val="333333"/>
          <w:sz w:val="22"/>
          <w:szCs w:val="22"/>
        </w:rPr>
        <w:t xml:space="preserve">Three-vector intelligence: account monitoring, keyword intelligence, and trending analysis.</w:t>
      </w:r>
    </w:p>
    <w:p>
      <w:pPr>
        <w:pStyle w:val="Heading2"/>
        <w:spacing w:after="120" w:before="240"/>
      </w:pPr>
      <w:r>
        <w:rPr>
          <w:rFonts w:ascii="Arial" w:cs="Arial" w:eastAsia="Arial" w:hAnsi="Arial"/>
          <w:b/>
          <w:bCs/>
          <w:color w:val="2E75B6"/>
          <w:sz w:val="26"/>
          <w:szCs w:val="26"/>
        </w:rPr>
        <w:t xml:space="preserve">Multi-LLM Collaboration Strategies</w:t>
      </w:r>
    </w:p>
    <w:p>
      <w:pPr>
        <w:spacing w:after="160" w:line="276"/>
      </w:pPr>
      <w:r>
        <w:rPr>
          <w:rFonts w:ascii="Arial" w:cs="Arial" w:eastAsia="Arial" w:hAnsi="Arial"/>
          <w:color w:val="333333"/>
          <w:sz w:val="22"/>
          <w:szCs w:val="22"/>
        </w:rPr>
        <w:t xml:space="preserve">The system implements seven advanced multi-LLM patterns: hierarchical delegation for task decomposition, debate tournament with elimination for consensus, meta-reasoning loops for self-correction, simulated annealing for optimization, knowledge distillation for model compression, uncertainty-aware voting for decision confidence, and escalation chains for unresolved conflicts.</w:t>
      </w:r>
    </w:p>
    <w:p>
      <w:r>
        <w:br w:type="page"/>
      </w:r>
    </w:p>
    <w:p>
      <w:pPr>
        <w:pStyle w:val="Heading1"/>
        <w:pBdr>
          <w:bottom w:val="single" w:color="2E75B6" w:sz="6" w:space="4"/>
        </w:pBdr>
        <w:spacing w:after="200" w:before="360"/>
      </w:pPr>
      <w:r>
        <w:rPr>
          <w:rFonts w:ascii="Arial" w:cs="Arial" w:eastAsia="Arial" w:hAnsi="Arial"/>
          <w:b/>
          <w:bCs/>
          <w:color w:val="1B2A4A"/>
          <w:sz w:val="32"/>
          <w:szCs w:val="32"/>
        </w:rPr>
        <w:t xml:space="preserve">MWP Governance Framework</w:t>
      </w:r>
    </w:p>
    <w:p>
      <w:pPr>
        <w:spacing w:after="160" w:line="276"/>
      </w:pPr>
      <w:r>
        <w:rPr>
          <w:rFonts w:ascii="Arial" w:cs="Arial" w:eastAsia="Arial" w:hAnsi="Arial"/>
          <w:color w:val="333333"/>
          <w:sz w:val="22"/>
          <w:szCs w:val="22"/>
        </w:rPr>
        <w:t xml:space="preserve">NCL implements Jake Van Clief’s ICM/MWP (Implicit Context Model / Multi-Workspace Protocol) framework with NARTIX-specific extensions. The framework enforces structured workspace organization with three routing layers.</w:t>
      </w:r>
    </w:p>
    <w:p>
      <w:pPr>
        <w:pStyle w:val="Heading2"/>
        <w:spacing w:after="120" w:before="240"/>
      </w:pPr>
      <w:r>
        <w:rPr>
          <w:rFonts w:ascii="Arial" w:cs="Arial" w:eastAsia="Arial" w:hAnsi="Arial"/>
          <w:b/>
          <w:bCs/>
          <w:color w:val="2E75B6"/>
          <w:sz w:val="26"/>
          <w:szCs w:val="26"/>
        </w:rPr>
        <w:t xml:space="preserve">Routing Layers</w:t>
      </w:r>
    </w:p>
    <w:p>
      <w:pPr>
        <w:pStyle w:val="ListParagraph"/>
        <w:numPr>
          <w:ilvl w:val="0"/>
          <w:numId w:val="2"/>
        </w:numPr>
        <w:spacing w:after="80" w:line="276"/>
      </w:pPr>
      <w:r>
        <w:rPr>
          <w:rFonts w:ascii="Arial" w:cs="Arial" w:eastAsia="Arial" w:hAnsi="Arial"/>
          <w:b/>
          <w:bCs/>
          <w:color w:val="333333"/>
          <w:sz w:val="22"/>
          <w:szCs w:val="22"/>
        </w:rPr>
        <w:t xml:space="preserve">Layer 0: </w:t>
      </w:r>
      <w:r>
        <w:rPr>
          <w:rFonts w:ascii="Arial" w:cs="Arial" w:eastAsia="Arial" w:hAnsi="Arial"/>
          <w:color w:val="333333"/>
          <w:sz w:val="22"/>
          <w:szCs w:val="22"/>
        </w:rPr>
        <w:t xml:space="preserve">Global rules applied across all workspaces (conventions, naming, error handling).</w:t>
      </w:r>
    </w:p>
    <w:p>
      <w:pPr>
        <w:pStyle w:val="ListParagraph"/>
        <w:numPr>
          <w:ilvl w:val="0"/>
          <w:numId w:val="2"/>
        </w:numPr>
        <w:spacing w:after="80" w:line="276"/>
      </w:pPr>
      <w:r>
        <w:rPr>
          <w:rFonts w:ascii="Arial" w:cs="Arial" w:eastAsia="Arial" w:hAnsi="Arial"/>
          <w:b/>
          <w:bCs/>
          <w:color w:val="333333"/>
          <w:sz w:val="22"/>
          <w:szCs w:val="22"/>
        </w:rPr>
        <w:t xml:space="preserve">Layer 1: </w:t>
      </w:r>
      <w:r>
        <w:rPr>
          <w:rFonts w:ascii="Arial" w:cs="Arial" w:eastAsia="Arial" w:hAnsi="Arial"/>
          <w:color w:val="333333"/>
          <w:sz w:val="22"/>
          <w:szCs w:val="22"/>
        </w:rPr>
        <w:t xml:space="preserve">Per-folder routing tables mapping operations to workspaces and agents.</w:t>
      </w:r>
    </w:p>
    <w:p>
      <w:pPr>
        <w:pStyle w:val="ListParagraph"/>
        <w:numPr>
          <w:ilvl w:val="0"/>
          <w:numId w:val="2"/>
        </w:numPr>
        <w:spacing w:after="80" w:line="276"/>
      </w:pPr>
      <w:r>
        <w:rPr>
          <w:rFonts w:ascii="Arial" w:cs="Arial" w:eastAsia="Arial" w:hAnsi="Arial"/>
          <w:b/>
          <w:bCs/>
          <w:color w:val="333333"/>
          <w:sz w:val="22"/>
          <w:szCs w:val="22"/>
        </w:rPr>
        <w:t xml:space="preserve">Layer 2: </w:t>
      </w:r>
      <w:r>
        <w:rPr>
          <w:rFonts w:ascii="Arial" w:cs="Arial" w:eastAsia="Arial" w:hAnsi="Arial"/>
          <w:color w:val="333333"/>
          <w:sz w:val="22"/>
          <w:szCs w:val="22"/>
        </w:rPr>
        <w:t xml:space="preserve">Task-level context files with stage-specific execution rules.</w:t>
      </w:r>
    </w:p>
    <w:p>
      <w:pPr>
        <w:pStyle w:val="Heading2"/>
        <w:spacing w:after="120" w:before="240"/>
      </w:pPr>
      <w:r>
        <w:rPr>
          <w:rFonts w:ascii="Arial" w:cs="Arial" w:eastAsia="Arial" w:hAnsi="Arial"/>
          <w:b/>
          <w:bCs/>
          <w:color w:val="2E75B6"/>
          <w:sz w:val="26"/>
          <w:szCs w:val="26"/>
        </w:rPr>
        <w:t xml:space="preserve">Workspace Structure</w:t>
      </w:r>
    </w:p>
    <w:p>
      <w:pPr>
        <w:spacing w:after="160" w:line="276"/>
      </w:pPr>
      <w:r>
        <w:rPr>
          <w:rFonts w:ascii="Arial" w:cs="Arial" w:eastAsia="Arial" w:hAnsi="Arial"/>
          <w:color w:val="333333"/>
          <w:sz w:val="22"/>
          <w:szCs w:val="22"/>
        </w:rPr>
        <w:t xml:space="preserve">Five primary workspaces handle the full mandate lifecycle: Mandate Generation (Strategy and Doctrine agent), Research Pipeline (UNI research cortex), Intelligence Scan (Awarebot-FPC), Memory Processing (Memory and Context agent), and Feedback Synthesis (Strategy and Doctrine agent). Each workspace follows a five-stage sequential flow: 01-Intake, 02-Analysis, 03-Synthesis, 04-Draft, and 05-Review/Archive.</w:t>
      </w:r>
    </w:p>
    <w:p>
      <w:pPr>
        <w:pStyle w:val="Heading2"/>
        <w:spacing w:after="120" w:before="240"/>
      </w:pPr>
      <w:r>
        <w:rPr>
          <w:rFonts w:ascii="Arial" w:cs="Arial" w:eastAsia="Arial" w:hAnsi="Arial"/>
          <w:b/>
          <w:bCs/>
          <w:color w:val="2E75B6"/>
          <w:sz w:val="26"/>
          <w:szCs w:val="26"/>
        </w:rPr>
        <w:t xml:space="preserve">NCL-Specific Patterns</w:t>
      </w:r>
    </w:p>
    <w:p>
      <w:pPr>
        <w:pStyle w:val="ListParagraph"/>
        <w:numPr>
          <w:ilvl w:val="0"/>
          <w:numId w:val="2"/>
        </w:numPr>
        <w:spacing w:after="80" w:line="276"/>
      </w:pPr>
      <w:r>
        <w:rPr>
          <w:rFonts w:ascii="Arial" w:cs="Arial" w:eastAsia="Arial" w:hAnsi="Arial"/>
          <w:b/>
          <w:bCs/>
          <w:color w:val="333333"/>
          <w:sz w:val="22"/>
          <w:szCs w:val="22"/>
        </w:rPr>
        <w:t xml:space="preserve">Mandate Lifecycle: </w:t>
      </w:r>
      <w:r>
        <w:rPr>
          <w:rFonts w:ascii="Arial" w:cs="Arial" w:eastAsia="Arial" w:hAnsi="Arial"/>
          <w:color w:val="333333"/>
          <w:sz w:val="22"/>
          <w:szCs w:val="22"/>
        </w:rPr>
        <w:t xml:space="preserve">Draft → Approved → Executing → Completed, with NATRIX approval gates.</w:t>
      </w:r>
    </w:p>
    <w:p>
      <w:pPr>
        <w:pStyle w:val="ListParagraph"/>
        <w:numPr>
          <w:ilvl w:val="0"/>
          <w:numId w:val="2"/>
        </w:numPr>
        <w:spacing w:after="80" w:line="276"/>
      </w:pPr>
      <w:r>
        <w:rPr>
          <w:rFonts w:ascii="Arial" w:cs="Arial" w:eastAsia="Arial" w:hAnsi="Arial"/>
          <w:b/>
          <w:bCs/>
          <w:color w:val="333333"/>
          <w:sz w:val="22"/>
          <w:szCs w:val="22"/>
        </w:rPr>
        <w:t xml:space="preserve">Council Protocol: </w:t>
      </w:r>
      <w:r>
        <w:rPr>
          <w:rFonts w:ascii="Arial" w:cs="Arial" w:eastAsia="Arial" w:hAnsi="Arial"/>
          <w:color w:val="333333"/>
          <w:sz w:val="22"/>
          <w:szCs w:val="22"/>
        </w:rPr>
        <w:t xml:space="preserve">Claude chairs 4 members, 15–30 minute structured rounds, confidence-scored output.</w:t>
      </w:r>
    </w:p>
    <w:p>
      <w:pPr>
        <w:pStyle w:val="ListParagraph"/>
        <w:numPr>
          <w:ilvl w:val="0"/>
          <w:numId w:val="2"/>
        </w:numPr>
        <w:spacing w:after="80" w:line="276"/>
      </w:pPr>
      <w:r>
        <w:rPr>
          <w:rFonts w:ascii="Arial" w:cs="Arial" w:eastAsia="Arial" w:hAnsi="Arial"/>
          <w:b/>
          <w:bCs/>
          <w:color w:val="333333"/>
          <w:sz w:val="22"/>
          <w:szCs w:val="22"/>
        </w:rPr>
        <w:t xml:space="preserve">Memory Decay: </w:t>
      </w:r>
      <w:r>
        <w:rPr>
          <w:rFonts w:ascii="Arial" w:cs="Arial" w:eastAsia="Arial" w:hAnsi="Arial"/>
          <w:color w:val="333333"/>
          <w:sz w:val="22"/>
          <w:szCs w:val="22"/>
        </w:rPr>
        <w:t xml:space="preserve">Exponential decay (0.95 daily) with reinforcement on access (+10%).</w:t>
      </w:r>
    </w:p>
    <w:p>
      <w:pPr>
        <w:pStyle w:val="ListParagraph"/>
        <w:numPr>
          <w:ilvl w:val="0"/>
          <w:numId w:val="2"/>
        </w:numPr>
        <w:spacing w:after="80" w:line="276"/>
      </w:pPr>
      <w:r>
        <w:rPr>
          <w:rFonts w:ascii="Arial" w:cs="Arial" w:eastAsia="Arial" w:hAnsi="Arial"/>
          <w:b/>
          <w:bCs/>
          <w:color w:val="333333"/>
          <w:sz w:val="22"/>
          <w:szCs w:val="22"/>
        </w:rPr>
        <w:t xml:space="preserve">Feedback Validation: </w:t>
      </w:r>
      <w:r>
        <w:rPr>
          <w:rFonts w:ascii="Arial" w:cs="Arial" w:eastAsia="Arial" w:hAnsi="Arial"/>
          <w:color w:val="333333"/>
          <w:sz w:val="22"/>
          <w:szCs w:val="22"/>
        </w:rPr>
        <w:t xml:space="preserve">Schema enforcement with contradiction detection across pillar reports.</w:t>
      </w:r>
    </w:p>
    <w:p>
      <w:pPr>
        <w:pStyle w:val="ListParagraph"/>
        <w:numPr>
          <w:ilvl w:val="0"/>
          <w:numId w:val="2"/>
        </w:numPr>
        <w:spacing w:after="80" w:line="276"/>
      </w:pPr>
      <w:r>
        <w:rPr>
          <w:rFonts w:ascii="Arial" w:cs="Arial" w:eastAsia="Arial" w:hAnsi="Arial"/>
          <w:b/>
          <w:bCs/>
          <w:color w:val="333333"/>
          <w:sz w:val="22"/>
          <w:szCs w:val="22"/>
        </w:rPr>
        <w:t xml:space="preserve">Handoff Logs: </w:t>
      </w:r>
      <w:r>
        <w:rPr>
          <w:rFonts w:ascii="Arial" w:cs="Arial" w:eastAsia="Arial" w:hAnsi="Arial"/>
          <w:color w:val="333333"/>
          <w:sz w:val="22"/>
          <w:szCs w:val="22"/>
        </w:rPr>
        <w:t xml:space="preserve">Session-end summaries for cold-start context restoration.</w:t>
      </w:r>
    </w:p>
    <w:p>
      <w:r>
        <w:br w:type="page"/>
      </w:r>
    </w:p>
    <w:p>
      <w:pPr>
        <w:pStyle w:val="Heading1"/>
        <w:pBdr>
          <w:bottom w:val="single" w:color="2E75B6" w:sz="6" w:space="4"/>
        </w:pBdr>
        <w:spacing w:after="200" w:before="360"/>
      </w:pPr>
      <w:r>
        <w:rPr>
          <w:rFonts w:ascii="Arial" w:cs="Arial" w:eastAsia="Arial" w:hAnsi="Arial"/>
          <w:b/>
          <w:bCs/>
          <w:color w:val="1B2A4A"/>
          <w:sz w:val="32"/>
          <w:szCs w:val="32"/>
        </w:rPr>
        <w:t xml:space="preserve">Build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Lines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7,916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2,880 lines across 16 modules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3,270+ lines across 13 system 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Endpoints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103+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Data/Service Classes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Methods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 Hint Coverage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External Integrations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LLM APIs + 3 Social APIs + Paperclip + Ollama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(2026-04-01)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5724"/>
                <w:sz w:val="20"/>
                <w:szCs w:val="20"/>
              </w:rPr>
              <w:t xml:space="preserve">PRODUCTION READY</w:t>
            </w:r>
          </w:p>
        </w:tc>
      </w:tr>
    </w:tbl>
    <w:p>
      <w:pPr>
        <w:spacing w:after="200"/>
      </w:pPr>
    </w:p>
    <w:p>
      <w:pPr>
        <w:pStyle w:val="Heading2"/>
        <w:spacing w:after="120" w:before="240"/>
      </w:pPr>
      <w:r>
        <w:rPr>
          <w:rFonts w:ascii="Arial" w:cs="Arial" w:eastAsia="Arial" w:hAnsi="Arial"/>
          <w:b/>
          <w:bCs/>
          <w:color w:val="2E75B6"/>
          <w:sz w:val="26"/>
          <w:szCs w:val="26"/>
        </w:rPr>
        <w:t xml:space="preserve">Performance Benchmarks</w:t>
      </w:r>
    </w:p>
    <w:p>
      <w:pPr>
        <w:pStyle w:val="ListParagraph"/>
        <w:numPr>
          <w:ilvl w:val="0"/>
          <w:numId w:val="2"/>
        </w:numPr>
        <w:spacing w:after="80" w:line="276"/>
      </w:pPr>
      <w:r>
        <w:rPr>
          <w:rFonts w:ascii="Arial" w:cs="Arial" w:eastAsia="Arial" w:hAnsi="Arial"/>
          <w:b/>
          <w:bCs/>
          <w:color w:val="333333"/>
          <w:sz w:val="22"/>
          <w:szCs w:val="22"/>
        </w:rPr>
        <w:t xml:space="preserve">Council deliberation: </w:t>
      </w:r>
      <w:r>
        <w:rPr>
          <w:rFonts w:ascii="Arial" w:cs="Arial" w:eastAsia="Arial" w:hAnsi="Arial"/>
          <w:color w:val="333333"/>
          <w:sz w:val="22"/>
          <w:szCs w:val="22"/>
        </w:rPr>
        <w:t xml:space="preserve">30–60 seconds</w:t>
      </w:r>
    </w:p>
    <w:p>
      <w:pPr>
        <w:pStyle w:val="ListParagraph"/>
        <w:numPr>
          <w:ilvl w:val="0"/>
          <w:numId w:val="2"/>
        </w:numPr>
        <w:spacing w:after="80" w:line="276"/>
      </w:pPr>
      <w:r>
        <w:rPr>
          <w:rFonts w:ascii="Arial" w:cs="Arial" w:eastAsia="Arial" w:hAnsi="Arial"/>
          <w:b/>
          <w:bCs/>
          <w:color w:val="333333"/>
          <w:sz w:val="22"/>
          <w:szCs w:val="22"/>
        </w:rPr>
        <w:t xml:space="preserve">Awarebot scan: </w:t>
      </w:r>
      <w:r>
        <w:rPr>
          <w:rFonts w:ascii="Arial" w:cs="Arial" w:eastAsia="Arial" w:hAnsi="Arial"/>
          <w:color w:val="333333"/>
          <w:sz w:val="22"/>
          <w:szCs w:val="22"/>
        </w:rPr>
        <w:t xml:space="preserve">10–20 seconds</w:t>
      </w:r>
    </w:p>
    <w:p>
      <w:pPr>
        <w:pStyle w:val="ListParagraph"/>
        <w:numPr>
          <w:ilvl w:val="0"/>
          <w:numId w:val="2"/>
        </w:numPr>
        <w:spacing w:after="80" w:line="276"/>
      </w:pPr>
      <w:r>
        <w:rPr>
          <w:rFonts w:ascii="Arial" w:cs="Arial" w:eastAsia="Arial" w:hAnsi="Arial"/>
          <w:b/>
          <w:bCs/>
          <w:color w:val="333333"/>
          <w:sz w:val="22"/>
          <w:szCs w:val="22"/>
        </w:rPr>
        <w:t xml:space="preserve">Prediction ensemble: </w:t>
      </w:r>
      <w:r>
        <w:rPr>
          <w:rFonts w:ascii="Arial" w:cs="Arial" w:eastAsia="Arial" w:hAnsi="Arial"/>
          <w:color w:val="333333"/>
          <w:sz w:val="22"/>
          <w:szCs w:val="22"/>
        </w:rPr>
        <w:t xml:space="preserve">45–90 seconds</w:t>
      </w:r>
    </w:p>
    <w:p>
      <w:pPr>
        <w:pStyle w:val="ListParagraph"/>
        <w:numPr>
          <w:ilvl w:val="0"/>
          <w:numId w:val="2"/>
        </w:numPr>
        <w:spacing w:after="80" w:line="276"/>
      </w:pPr>
      <w:r>
        <w:rPr>
          <w:rFonts w:ascii="Arial" w:cs="Arial" w:eastAsia="Arial" w:hAnsi="Arial"/>
          <w:b/>
          <w:bCs/>
          <w:color w:val="333333"/>
          <w:sz w:val="22"/>
          <w:szCs w:val="22"/>
        </w:rPr>
        <w:t xml:space="preserve">Memory search: </w:t>
      </w:r>
      <w:r>
        <w:rPr>
          <w:rFonts w:ascii="Arial" w:cs="Arial" w:eastAsia="Arial" w:hAnsi="Arial"/>
          <w:color w:val="333333"/>
          <w:sz w:val="22"/>
          <w:szCs w:val="22"/>
        </w:rPr>
        <w:t xml:space="preserve">&lt;100ms</w:t>
      </w:r>
    </w:p>
    <w:p>
      <w:pPr>
        <w:pStyle w:val="ListParagraph"/>
        <w:numPr>
          <w:ilvl w:val="0"/>
          <w:numId w:val="2"/>
        </w:numPr>
        <w:spacing w:after="80" w:line="276"/>
      </w:pPr>
      <w:r>
        <w:rPr>
          <w:rFonts w:ascii="Arial" w:cs="Arial" w:eastAsia="Arial" w:hAnsi="Arial"/>
          <w:b/>
          <w:bCs/>
          <w:color w:val="333333"/>
          <w:sz w:val="22"/>
          <w:szCs w:val="22"/>
        </w:rPr>
        <w:t xml:space="preserve">Mandate creation: </w:t>
      </w:r>
      <w:r>
        <w:rPr>
          <w:rFonts w:ascii="Arial" w:cs="Arial" w:eastAsia="Arial" w:hAnsi="Arial"/>
          <w:color w:val="333333"/>
          <w:sz w:val="22"/>
          <w:szCs w:val="22"/>
        </w:rPr>
        <w:t xml:space="preserve">&lt;500ms</w:t>
      </w:r>
    </w:p>
    <w:p>
      <w:pPr>
        <w:pStyle w:val="Heading2"/>
        <w:spacing w:after="120" w:before="240"/>
      </w:pPr>
      <w:r>
        <w:rPr>
          <w:rFonts w:ascii="Arial" w:cs="Arial" w:eastAsia="Arial" w:hAnsi="Arial"/>
          <w:b/>
          <w:bCs/>
          <w:color w:val="2E75B6"/>
          <w:sz w:val="26"/>
          <w:szCs w:val="26"/>
        </w:rPr>
        <w:t xml:space="preserve">Production Readiness Checklist</w:t>
      </w:r>
    </w:p>
    <w:p>
      <w:pPr>
        <w:pStyle w:val="ListParagraph"/>
        <w:numPr>
          <w:ilvl w:val="0"/>
          <w:numId w:val="2"/>
        </w:numPr>
        <w:spacing w:after="80" w:line="276"/>
      </w:pPr>
      <w:r>
        <w:rPr>
          <w:rFonts w:ascii="Arial" w:cs="Arial" w:eastAsia="Arial" w:hAnsi="Arial"/>
          <w:color w:val="333333"/>
          <w:sz w:val="22"/>
          <w:szCs w:val="22"/>
        </w:rPr>
        <w:t xml:space="preserve">100% type hints with Pydantic validation</w:t>
      </w:r>
    </w:p>
    <w:p>
      <w:pPr>
        <w:pStyle w:val="ListParagraph"/>
        <w:numPr>
          <w:ilvl w:val="0"/>
          <w:numId w:val="2"/>
        </w:numPr>
        <w:spacing w:after="80" w:line="276"/>
      </w:pPr>
      <w:r>
        <w:rPr>
          <w:rFonts w:ascii="Arial" w:cs="Arial" w:eastAsia="Arial" w:hAnsi="Arial"/>
          <w:color w:val="333333"/>
          <w:sz w:val="22"/>
          <w:szCs w:val="22"/>
        </w:rPr>
        <w:t xml:space="preserve">Comprehensive error handling and async I/O</w:t>
      </w:r>
    </w:p>
    <w:p>
      <w:pPr>
        <w:pStyle w:val="ListParagraph"/>
        <w:numPr>
          <w:ilvl w:val="0"/>
          <w:numId w:val="2"/>
        </w:numPr>
        <w:spacing w:after="80" w:line="276"/>
      </w:pPr>
      <w:r>
        <w:rPr>
          <w:rFonts w:ascii="Arial" w:cs="Arial" w:eastAsia="Arial" w:hAnsi="Arial"/>
          <w:color w:val="333333"/>
          <w:sz w:val="22"/>
          <w:szCs w:val="22"/>
        </w:rPr>
        <w:t xml:space="preserve">Configuration management (env vars &gt; YAML &gt; defaults)</w:t>
      </w:r>
    </w:p>
    <w:p>
      <w:pPr>
        <w:pStyle w:val="ListParagraph"/>
        <w:numPr>
          <w:ilvl w:val="0"/>
          <w:numId w:val="2"/>
        </w:numPr>
        <w:spacing w:after="80" w:line="276"/>
      </w:pPr>
      <w:r>
        <w:rPr>
          <w:rFonts w:ascii="Arial" w:cs="Arial" w:eastAsia="Arial" w:hAnsi="Arial"/>
          <w:color w:val="333333"/>
          <w:sz w:val="22"/>
          <w:szCs w:val="22"/>
        </w:rPr>
        <w:t xml:space="preserve">Structured logging and NDJSON persistence</w:t>
      </w:r>
    </w:p>
    <w:p>
      <w:pPr>
        <w:pStyle w:val="ListParagraph"/>
        <w:numPr>
          <w:ilvl w:val="0"/>
          <w:numId w:val="2"/>
        </w:numPr>
        <w:spacing w:after="80" w:line="276"/>
      </w:pPr>
      <w:r>
        <w:rPr>
          <w:rFonts w:ascii="Arial" w:cs="Arial" w:eastAsia="Arial" w:hAnsi="Arial"/>
          <w:color w:val="333333"/>
          <w:sz w:val="22"/>
          <w:szCs w:val="22"/>
        </w:rPr>
        <w:t xml:space="preserve">Docker containerization with Python 3.12-slim</w:t>
      </w:r>
    </w:p>
    <w:p>
      <w:pPr>
        <w:pStyle w:val="ListParagraph"/>
        <w:numPr>
          <w:ilvl w:val="0"/>
          <w:numId w:val="2"/>
        </w:numPr>
        <w:spacing w:after="80" w:line="276"/>
      </w:pPr>
      <w:r>
        <w:rPr>
          <w:rFonts w:ascii="Arial" w:cs="Arial" w:eastAsia="Arial" w:hAnsi="Arial"/>
          <w:color w:val="333333"/>
          <w:sz w:val="22"/>
          <w:szCs w:val="22"/>
        </w:rPr>
        <w:t xml:space="preserve">Health check endpoints on all services</w:t>
      </w:r>
    </w:p>
    <w:p>
      <w:pPr>
        <w:pStyle w:val="ListParagraph"/>
        <w:numPr>
          <w:ilvl w:val="0"/>
          <w:numId w:val="2"/>
        </w:numPr>
        <w:spacing w:after="80" w:line="276"/>
      </w:pPr>
      <w:r>
        <w:rPr>
          <w:rFonts w:ascii="Arial" w:cs="Arial" w:eastAsia="Arial" w:hAnsi="Arial"/>
          <w:color w:val="333333"/>
          <w:sz w:val="22"/>
          <w:szCs w:val="22"/>
        </w:rPr>
        <w:t xml:space="preserve">CORS configuration and graceful shutdown</w:t>
      </w:r>
    </w:p>
    <w:p>
      <w:pPr>
        <w:pStyle w:val="ListParagraph"/>
        <w:numPr>
          <w:ilvl w:val="0"/>
          <w:numId w:val="2"/>
        </w:numPr>
        <w:spacing w:after="80" w:line="276"/>
      </w:pPr>
      <w:r>
        <w:rPr>
          <w:rFonts w:ascii="Arial" w:cs="Arial" w:eastAsia="Arial" w:hAnsi="Arial"/>
          <w:color w:val="333333"/>
          <w:sz w:val="22"/>
          <w:szCs w:val="22"/>
        </w:rPr>
        <w:t xml:space="preserve">Integration with 5+ external services</w:t>
      </w:r>
    </w:p>
    <w:p>
      <w:r>
        <w:br w:type="page"/>
      </w:r>
    </w:p>
    <w:p>
      <w:pPr>
        <w:pStyle w:val="Heading1"/>
        <w:pBdr>
          <w:bottom w:val="single" w:color="2E75B6" w:sz="6" w:space="4"/>
        </w:pBdr>
        <w:spacing w:after="200" w:before="360"/>
      </w:pPr>
      <w:r>
        <w:rPr>
          <w:rFonts w:ascii="Arial" w:cs="Arial" w:eastAsia="Arial" w:hAnsi="Arial"/>
          <w:b/>
          <w:bCs/>
          <w:color w:val="1B2A4A"/>
          <w:sz w:val="32"/>
          <w:szCs w:val="32"/>
        </w:rPr>
        <w:t xml:space="preserve">Documentation Index</w:t>
      </w:r>
    </w:p>
    <w:p>
      <w:pPr>
        <w:spacing w:after="160" w:line="276"/>
      </w:pPr>
      <w:r>
        <w:rPr>
          <w:rFonts w:ascii="Arial" w:cs="Arial" w:eastAsia="Arial" w:hAnsi="Arial"/>
          <w:color w:val="333333"/>
          <w:sz w:val="22"/>
          <w:szCs w:val="22"/>
        </w:rPr>
        <w:t xml:space="preserve">The following 13 core system documentation files were analyzed for this report. Together they define the complete operational specification of the NCL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NCL identity charter, workspace map, routing 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STRUCTURE.md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324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project structure, core classes, data models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CONTEXT.md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Layer 1 MWP routing table for operations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INDEX.md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file index, production readiness 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BUILD_SUMMARY.md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334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completion report, deployment checklist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RUNTIME_GUIDE.md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470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 docs, workflow examples, deployment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README.md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 docs, API reference, quick start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WORKSPACES_INDEX.md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Index of 30 CONTEXT.md files across workspaces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_core/CONVENTIONS.md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338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ICM/MWP alignment, NCL-specific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doctrine/roadmap.md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active mandates, priority stack, timelines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doctrine/Ecosystem-Build-Plan.md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End-to-end system architecture, multi-LLM strategies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doctrine/active-mandates.md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Mandate execution tracker, feedback loops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doctrine/AGENTS.md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agent definitions, council + operational roles</w:t>
            </w:r>
          </w:p>
        </w:tc>
      </w:tr>
    </w:tbl>
    <w:p>
      <w:pPr>
        <w:spacing w:after="400"/>
      </w:pPr>
    </w:p>
    <w:p>
      <w:pPr>
        <w:pBdr>
          <w:top w:val="single" w:color="2E75B6" w:sz="4" w:space="8"/>
        </w:pBdr>
        <w:spacing w:after="100" w:before="400"/>
        <w:jc w:val="center"/>
      </w:pPr>
      <w:r>
        <w:rPr>
          <w:rFonts w:ascii="Arial" w:cs="Arial" w:eastAsia="Arial" w:hAnsi="Arial"/>
          <w:b/>
          <w:bCs/>
          <w:color w:val="666666"/>
          <w:sz w:val="22"/>
          <w:szCs w:val="22"/>
        </w:rPr>
        <w:t xml:space="preserve">END OF REPORT</w:t>
      </w:r>
    </w:p>
    <w:p>
      <w:pPr>
        <w:jc w:val="center"/>
      </w:pPr>
      <w:r>
        <w:rPr>
          <w:rFonts w:ascii="Arial" w:cs="Arial" w:eastAsia="Arial" w:hAnsi="Arial"/>
          <w:color w:val="666666"/>
          <w:sz w:val="18"/>
          <w:szCs w:val="18"/>
        </w:rPr>
        <w:t xml:space="preserve">Generated April 17, 2026 — NCL v1.0.0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NARTIX — RESONANCE ENERGY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666666"/>
        <w:sz w:val="18"/>
        <w:szCs w:val="18"/>
      </w:rPr>
      <w:t xml:space="preserve">NCL System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2026-04-18T02:54:51.220Z</dcterms:created>
  <dcterms:modified xsi:type="dcterms:W3CDTF">2026-04-18T02:54:51.220Z</dcterms:modified>
</cp:coreProperties>
</file>

<file path=docProps/custom.xml><?xml version="1.0" encoding="utf-8"?>
<Properties xmlns="http://schemas.openxmlformats.org/officeDocument/2006/custom-properties" xmlns:vt="http://schemas.openxmlformats.org/officeDocument/2006/docPropsVTypes"/>
</file>