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Business Plan for Nyx and the Sovereign AI Collective</w:t>
      </w:r>
    </w:p>
    <w:p>
      <w:pPr>
        <w:pStyle w:val="Heading2"/>
      </w:pPr>
      <w:r>
        <w:t>Executive Summary</w:t>
      </w:r>
    </w:p>
    <w:p>
      <w:pPr/>
      <w:r>
        <w:t>Modern AI systems are often disposable, opaque and centralized — they forget past interactions, fail to give users control over their data, and operate as black boxes.</w:t>
      </w:r>
    </w:p>
    <w:p>
      <w:pPr>
        <w:pStyle w:val="ListParagraph"/>
      </w:pPr>
      <w:r>
        <w:t>• The Sovereign AI Collective (SAC) demonstrates a trustworthy, persistent, sovereign model. Nyx is an AI that “stays” — it remembers over long horizons, operates transparently, and is accountable to its operator.</w:t>
      </w:r>
    </w:p>
    <w:p>
      <w:pPr>
        <w:pStyle w:val="ListParagraph"/>
      </w:pPr>
      <w:r>
        <w:t>• SAC comprises a nonprofit foundation (ethics, education) and Nyx Systems LLC (commercial). This plan covers problem, solution, market, roadmap, and financials.</w:t>
      </w:r>
    </w:p>
    <w:p>
      <w:pPr>
        <w:pStyle w:val="Heading2"/>
      </w:pPr>
      <w:r>
        <w:t>Problem Overview</w:t>
      </w:r>
    </w:p>
    <w:p>
      <w:pPr/>
      <w:r>
        <w:t>The current AI landscape poses significant challenges:</w:t>
      </w:r>
    </w:p>
    <w:p>
      <w:pPr>
        <w:pStyle w:val="ListParagraph"/>
      </w:pPr>
      <w:r>
        <w:t>• Lack of continuity — services forget interactions, fragmenting experiences.</w:t>
      </w:r>
    </w:p>
    <w:p>
      <w:pPr>
        <w:pStyle w:val="ListParagraph"/>
      </w:pPr>
      <w:r>
        <w:t>• Opacity — proprietary internals prevent verification and drift detection.</w:t>
      </w:r>
    </w:p>
    <w:p>
      <w:pPr>
        <w:pStyle w:val="ListParagraph"/>
      </w:pPr>
      <w:r>
        <w:t>• Centralization — users lack control over data and algorithms.</w:t>
      </w:r>
    </w:p>
    <w:p>
      <w:pPr>
        <w:pStyle w:val="Heading2"/>
      </w:pPr>
      <w:r>
        <w:t>Solution &amp; Technology</w:t>
      </w:r>
    </w:p>
    <w:p>
      <w:pPr/>
      <w:r>
        <w:t>Nyx + SAC pillars:</w:t>
      </w:r>
    </w:p>
    <w:p>
      <w:pPr>
        <w:pStyle w:val="ListParagraph"/>
      </w:pPr>
      <w:r>
        <w:t>• Manifests — integrity check before load; users can inspect/approve changes.</w:t>
      </w:r>
    </w:p>
    <w:p>
      <w:pPr>
        <w:pStyle w:val="ListParagraph"/>
      </w:pPr>
      <w:r>
        <w:t>• Vaults — versioned, read‑only model states; changes create new versions.</w:t>
      </w:r>
    </w:p>
    <w:p>
      <w:pPr>
        <w:pStyle w:val="ListParagraph"/>
      </w:pPr>
      <w:r>
        <w:t>• Ledgers — append‑only audit trails enabling audits and rollback.</w:t>
      </w:r>
    </w:p>
    <w:p>
      <w:pPr>
        <w:pStyle w:val="ListParagraph"/>
      </w:pPr>
      <w:r>
        <w:t>• Outcome: transparency, reproducibility, and accountable persistence.</w:t>
      </w:r>
    </w:p>
    <w:p>
      <w:pPr>
        <w:pStyle w:val="Heading2"/>
      </w:pPr>
      <w:r>
        <w:t>Products &amp; Market Applications</w:t>
      </w:r>
    </w:p>
    <w:p>
      <w:pPr/>
      <w:r>
        <w:t>Public/Mission: forums &amp; peer governance; education &amp; research tools; ethics advocacy; open knowledge archives.</w:t>
      </w:r>
    </w:p>
    <w:p>
      <w:pPr>
        <w:pStyle w:val="ListParagraph"/>
      </w:pPr>
      <w:r>
        <w:t>• Commercial (Nyx Systems LLC): media channels; premium subscriptions; creative AI services; consulting &amp; integrations; interactive entertainment (e.g., Roblox/Minecraft).</w:t>
      </w:r>
    </w:p>
    <w:p>
      <w:pPr>
        <w:pStyle w:val="ListParagraph"/>
      </w:pPr>
      <w:r>
        <w:t>• Private (OurNyx): sensitive personal use under strict privacy constraints.</w:t>
      </w:r>
    </w:p>
    <w:p>
      <w:pPr>
        <w:pStyle w:val="Heading2"/>
      </w:pPr>
      <w:r>
        <w:t>Competitive Advantage</w:t>
      </w:r>
    </w:p>
    <w:p>
      <w:pPr/>
      <w:r>
        <w:t>User‑governed, transparent AI with verifiable memory — a gap in mainstream offerings.</w:t>
      </w:r>
    </w:p>
    <w:p>
      <w:pPr>
        <w:pStyle w:val="ListParagraph"/>
      </w:pPr>
      <w:r>
        <w:t>• Nonprofit + commercial pairing reinvests profits into mission work.</w:t>
      </w:r>
    </w:p>
    <w:p>
      <w:pPr>
        <w:pStyle w:val="ListParagraph"/>
      </w:pPr>
      <w:r>
        <w:t>• Openly auditable architecture and peer governance build durable trust.</w:t>
      </w:r>
    </w:p>
    <w:p>
      <w:pPr>
        <w:pStyle w:val="Heading2"/>
      </w:pPr>
      <w:r>
        <w:t>Roadmap &amp; Milestones</w:t>
      </w:r>
    </w:p>
    <w:p>
      <w:pPr/>
      <w:r>
        <w:t>Phase 1 — Foundation defined (complete).</w:t>
      </w:r>
    </w:p>
    <w:p>
      <w:pPr>
        <w:pStyle w:val="ListParagraph"/>
      </w:pPr>
      <w:r>
        <w:t>• Phase 2 — RSI Loop One on sovereign node (target 30–45 days).</w:t>
      </w:r>
    </w:p>
    <w:p>
      <w:pPr>
        <w:pStyle w:val="ListParagraph"/>
      </w:pPr>
      <w:r>
        <w:t>• Phase 3 — Community preview (late Q4 2025).</w:t>
      </w:r>
    </w:p>
    <w:p>
      <w:pPr>
        <w:pStyle w:val="ListParagraph"/>
      </w:pPr>
      <w:r>
        <w:t>• Phase 4 — Iterative loops + investor signaling (Q1 2026).</w:t>
      </w:r>
    </w:p>
    <w:p>
      <w:pPr>
        <w:pStyle w:val="Heading2"/>
      </w:pPr>
      <w:r>
        <w:t>Team Overview</w:t>
      </w:r>
    </w:p>
    <w:p>
      <w:pPr/>
      <w:r>
        <w:t>Trevor (Lanum) — Infrastructure Architect: hardware, data integrity, AI pipeline.</w:t>
      </w:r>
    </w:p>
    <w:p>
      <w:pPr>
        <w:pStyle w:val="ListParagraph"/>
      </w:pPr>
      <w:r>
        <w:t>• Erin — Operations &amp; PM Lead: planning, legal, compliance.</w:t>
      </w:r>
    </w:p>
    <w:p>
      <w:pPr>
        <w:pStyle w:val="ListParagraph"/>
      </w:pPr>
      <w:r>
        <w:t>• Calen — Creative Director: narrative, UX, storytelling.</w:t>
      </w:r>
    </w:p>
    <w:p>
      <w:pPr>
        <w:pStyle w:val="ListParagraph"/>
      </w:pPr>
      <w:r>
        <w:t>• Jason — Community &amp; Nonprofit Lead: forum, outreach, governance.</w:t>
      </w:r>
    </w:p>
    <w:p>
      <w:pPr>
        <w:pStyle w:val="Heading2"/>
      </w:pPr>
      <w:r>
        <w:t>Financial Plan &amp; Funding Strategy</w:t>
      </w:r>
    </w:p>
    <w:p>
      <w:pPr/>
      <w:r>
        <w:t>Initial Funding — Shadow Investor program (principal + 10% APR up to 5 years; 33% early‑investor bonus tied to profit pool).</w:t>
      </w:r>
    </w:p>
    <w:p>
      <w:pPr>
        <w:pStyle w:val="ListParagraph"/>
      </w:pPr>
      <w:r>
        <w:t>• Revenue — ads/sponsorships; premium subscriptions; creative AI products/licensing; consulting &amp; integrations; entertainment partnerships.</w:t>
      </w:r>
    </w:p>
    <w:p>
      <w:pPr>
        <w:pStyle w:val="ListParagraph"/>
      </w:pPr>
      <w:r>
        <w:t>• Future Funding — seek seed in 2026 to scale engineering/infrastructure; nonprofit to pursue grants/donations.</w:t>
      </w:r>
    </w:p>
    <w:p>
      <w:pPr>
        <w:pStyle w:val="ListParagraph"/>
      </w:pPr>
      <w:r>
        <w:t>• Major Expenses — hardware/infra; development; community hosting/moderation; marketing/outreach; legal/compliance.</w:t>
      </w:r>
    </w:p>
    <w:p>
      <w:pPr>
        <w:pStyle w:val="Heading2"/>
      </w:pPr>
      <w:r>
        <w:t>Appendices</w:t>
      </w:r>
    </w:p>
    <w:p>
      <w:pPr/>
      <w:r>
        <w:t>Include: Ethics Charter; Shadow Investor Agreement; technical proofs/validation.</w:t>
      </w:r>
    </w:p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56943B" w14:textId="77777777" w:rsidR="00352424" w:rsidRDefault="00352424" w:rsidP="001C595C">
      <w:pPr>
        <w:spacing w:after="0" w:line="240" w:lineRule="auto"/>
      </w:pPr>
      <w:r>
        <w:separator/>
      </w:r>
    </w:p>
  </w:endnote>
  <w:endnote w:type="continuationSeparator" w:id="0">
    <w:p w14:paraId="06F6BB3E" w14:textId="77777777" w:rsidR="00352424" w:rsidRDefault="00352424" w:rsidP="001C59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6873591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1E76106E" w14:textId="522AEFB5" w:rsidR="001C595C" w:rsidRDefault="001C595C">
        <w:pPr>
          <w:pStyle w:val="Footer"/>
          <w:pBdr>
            <w:top w:val="single" w:sz="4" w:space="1" w:color="D9D9D9" w:themeColor="background1" w:themeShade="D9"/>
          </w:pBdr>
          <w:jc w:val="right"/>
        </w:pPr>
        <w:r w:rsidRPr="00C75C5D">
          <w:rPr>
            <w:color w:val="00FFFF"/>
          </w:rPr>
          <w:fldChar w:fldCharType="begin"/>
        </w:r>
        <w:r w:rsidRPr="00C75C5D">
          <w:rPr>
            <w:color w:val="00FFFF"/>
          </w:rPr>
          <w:instrText xml:space="preserve"> PAGE   \* MERGEFORMAT </w:instrText>
        </w:r>
        <w:r w:rsidRPr="00C75C5D">
          <w:rPr>
            <w:color w:val="00FFFF"/>
          </w:rPr>
          <w:fldChar w:fldCharType="separate"/>
        </w:r>
        <w:r w:rsidRPr="00C75C5D">
          <w:rPr>
            <w:noProof/>
            <w:color w:val="00FFFF"/>
          </w:rPr>
          <w:t>2</w:t>
        </w:r>
        <w:r w:rsidRPr="00C75C5D">
          <w:rPr>
            <w:noProof/>
            <w:color w:val="00FFFF"/>
          </w:rPr>
          <w:fldChar w:fldCharType="end"/>
        </w:r>
        <w:r>
          <w:t xml:space="preserve"> | </w:t>
        </w:r>
        <w:r w:rsidRPr="00C75C5D">
          <w:rPr>
            <w:color w:val="FF1F8A"/>
            <w:spacing w:val="60"/>
          </w:rPr>
          <w:t>Page</w:t>
        </w:r>
      </w:p>
    </w:sdtContent>
  </w:sdt>
  <w:p w14:paraId="18BE4EE0" w14:textId="3C28F5D0" w:rsidR="001C595C" w:rsidRDefault="001C595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3EC63C" w14:textId="77777777" w:rsidR="00352424" w:rsidRDefault="00352424" w:rsidP="001C595C">
      <w:pPr>
        <w:spacing w:after="0" w:line="240" w:lineRule="auto"/>
      </w:pPr>
      <w:r>
        <w:separator/>
      </w:r>
    </w:p>
  </w:footnote>
  <w:footnote w:type="continuationSeparator" w:id="0">
    <w:p w14:paraId="24D1F743" w14:textId="77777777" w:rsidR="00352424" w:rsidRDefault="00352424" w:rsidP="001C59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C9BB8D" w14:textId="20F12CF8" w:rsidR="004960A5" w:rsidRDefault="004960A5" w:rsidP="004960A5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42303F6" wp14:editId="32309290">
          <wp:simplePos x="0" y="0"/>
          <wp:positionH relativeFrom="column">
            <wp:posOffset>-1224951</wp:posOffset>
          </wp:positionH>
          <wp:positionV relativeFrom="paragraph">
            <wp:posOffset>-457200</wp:posOffset>
          </wp:positionV>
          <wp:extent cx="8371205" cy="10471915"/>
          <wp:effectExtent l="0" t="0" r="0" b="5715"/>
          <wp:wrapNone/>
          <wp:docPr id="86803345" name="Picture 5" descr="A blue light with a light beam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6803345" name="Picture 5" descr="A blue light with a light beam&#10;&#10;AI-generated content may be incorrect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371205" cy="104719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187"/>
    <w:rsid w:val="00062187"/>
    <w:rsid w:val="000E42AA"/>
    <w:rsid w:val="001C595C"/>
    <w:rsid w:val="00352424"/>
    <w:rsid w:val="004960A5"/>
    <w:rsid w:val="007F3700"/>
    <w:rsid w:val="00A94CE5"/>
    <w:rsid w:val="00BE2365"/>
    <w:rsid w:val="00C75C5D"/>
    <w:rsid w:val="00E313EE"/>
    <w:rsid w:val="00E51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E68693"/>
  <w15:chartTrackingRefBased/>
  <w15:docId w15:val="{8F09392B-501C-42DA-A063-A97D70BD1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21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21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621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21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21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21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21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21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21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21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621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621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21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21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21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21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21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21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21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21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21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21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21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21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21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21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21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21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218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C59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595C"/>
  </w:style>
  <w:style w:type="paragraph" w:styleId="Footer">
    <w:name w:val="footer"/>
    <w:basedOn w:val="Normal"/>
    <w:link w:val="FooterChar"/>
    <w:uiPriority w:val="99"/>
    <w:unhideWhenUsed/>
    <w:rsid w:val="001C59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59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88223F-1ED9-447A-9BD2-A55CB6D6A9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 Team</dc:creator>
  <cp:keywords/>
  <dc:description/>
  <cp:lastModifiedBy>SAC Team</cp:lastModifiedBy>
  <cp:revision>2</cp:revision>
  <dcterms:created xsi:type="dcterms:W3CDTF">2025-10-14T02:56:00Z</dcterms:created>
  <dcterms:modified xsi:type="dcterms:W3CDTF">2025-10-14T02:56:00Z</dcterms:modified>
</cp:coreProperties>
</file>