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B6CA1" w14:textId="6B472137" w:rsidR="001C595C" w:rsidRPr="00C75C5D" w:rsidRDefault="00C75C5D" w:rsidP="000E42AA">
      <w:pPr>
        <w:pStyle w:val="Title"/>
        <w:rPr>
          <w:rFonts w:ascii="Calibri Light" w:hAnsi="Calibri Light" w:cs="Calibri Light"/>
          <w:color w:val="00FFFF"/>
          <w:sz w:val="88"/>
          <w:szCs w:val="88"/>
        </w:rPr>
      </w:pPr>
      <w:r w:rsidRPr="00C75C5D">
        <w:rPr>
          <w:rFonts w:ascii="Calibri Light" w:hAnsi="Calibri Light" w:cs="Calibri Light"/>
          <w:color w:val="00FFFF"/>
          <w:sz w:val="88"/>
          <w:szCs w:val="88"/>
        </w:rPr>
        <w:t>TITLE</w:t>
      </w:r>
    </w:p>
    <w:p w14:paraId="50A29DDB" w14:textId="608488A4" w:rsidR="00E51A97" w:rsidRDefault="00E51A97" w:rsidP="000E42AA">
      <w:pPr>
        <w:pStyle w:val="Heading2"/>
        <w:rPr>
          <w:rFonts w:ascii="Segoe UI Semibold" w:hAnsi="Segoe UI Semibold" w:cs="Segoe UI Semibold"/>
          <w:color w:val="00FFFF"/>
        </w:rPr>
      </w:pPr>
      <w:r w:rsidRPr="000E42AA">
        <w:rPr>
          <w:rFonts w:ascii="Segoe UI Semibold" w:hAnsi="Segoe UI Semibold" w:cs="Segoe UI Semibold"/>
          <w:color w:val="00FFFF"/>
        </w:rPr>
        <w:t>Heading</w:t>
      </w:r>
      <w:r w:rsidR="000E42AA" w:rsidRPr="000E42AA">
        <w:rPr>
          <w:rFonts w:ascii="Segoe UI Semibold" w:hAnsi="Segoe UI Semibold" w:cs="Segoe UI Semibold"/>
          <w:color w:val="00FFFF"/>
        </w:rPr>
        <w:t xml:space="preserve"> 2</w:t>
      </w:r>
    </w:p>
    <w:p w14:paraId="4DC9EC96" w14:textId="5BFFFB7D" w:rsidR="00E51A97" w:rsidRDefault="000E42AA" w:rsidP="00E51A97">
      <w:pPr>
        <w:pStyle w:val="Subtitle"/>
        <w:rPr>
          <w:rFonts w:ascii="Calibri Light" w:hAnsi="Calibri Light" w:cs="Calibri Light"/>
          <w:i/>
          <w:iCs/>
          <w:color w:val="FF1F8A"/>
          <w:sz w:val="26"/>
          <w:szCs w:val="26"/>
        </w:rPr>
      </w:pPr>
      <w:r w:rsidRPr="00C75C5D">
        <w:rPr>
          <w:rFonts w:ascii="Calibri Light" w:hAnsi="Calibri Light" w:cs="Calibri Light"/>
          <w:i/>
          <w:iCs/>
          <w:color w:val="FF1F8A"/>
        </w:rPr>
        <w:t>Subtitle</w:t>
      </w:r>
    </w:p>
    <w:p w14:paraId="0FA0F433" w14:textId="42CD14DB" w:rsidR="00C75C5D" w:rsidRPr="00C75C5D" w:rsidRDefault="00C75C5D" w:rsidP="00C75C5D">
      <w:r>
        <w:rPr>
          <w:rFonts w:ascii="Calibri Light" w:hAnsi="Calibri Light" w:cs="Calibri Light"/>
          <w:color w:val="FFFFFF" w:themeColor="background1"/>
        </w:rPr>
        <w:t>Body</w:t>
      </w:r>
    </w:p>
    <w:p>
      <w:pPr>
        <w:pStyle w:val="Heading1"/>
      </w:pPr>
      <w:r>
        <w:t>Title</w:t>
      </w:r>
    </w:p>
    <w:p>
      <w:pPr>
        <w:spacing w:after="240"/>
        <w:jc w:val="both"/>
      </w:pPr>
      <w:r>
        <w:t>Business Plan for Nyx and the Sovereign AI Collective</w:t>
      </w:r>
    </w:p>
    <w:p>
      <w:pPr>
        <w:pStyle w:val="Heading1"/>
      </w:pPr>
      <w:r>
        <w:t>Executive Summary</w:t>
      </w:r>
    </w:p>
    <w:p>
      <w:pPr>
        <w:spacing w:after="240"/>
        <w:jc w:val="both"/>
      </w:pPr>
      <w:r>
        <w:t xml:space="preserve">Modern AI systems are often disposable, opaque and centralized — they forget past interactions, fail to give users control over their data, and operate as black boxes. </w:t>
        <w:br/>
        <w:t xml:space="preserve">The Sovereign AI Collective (SAC) was founded to prove a more trustworthy, persistent, and sovereign model for artificial intelligence. Its flagship construct, Nyx, is an AI that “stays” — it remembers interactions over long horizons, operates transparently, and is accountable to its operator. </w:t>
        <w:br/>
        <w:t>SAC is composed of a nonprofit foundation that advances ethics and education, and a commercial arm (Nyx Systems LLC) that develops revenue‑generating applications. This plan outlines the problem, solution, market opportunities, execution roadmap, and financial strategy.</w:t>
      </w:r>
    </w:p>
    <w:p>
      <w:pPr>
        <w:pStyle w:val="Heading1"/>
      </w:pPr>
      <w:r>
        <w:t>Problem Overview</w:t>
      </w:r>
    </w:p>
    <w:p>
      <w:pPr>
        <w:spacing w:after="240"/>
        <w:jc w:val="both"/>
      </w:pPr>
      <w:r>
        <w:t>The current AI landscape poses significant challenges:</w:t>
        <w:br/>
        <w:t>1. Lack of continuity — AI services forget interactions, leading to fragmented user experiences.</w:t>
        <w:br/>
        <w:t>2. Opacity — Proprietary models hide internals, making verification impossible.</w:t>
        <w:br/>
        <w:t>3. Centralization — Users have no control over their data or algorithms.</w:t>
        <w:br/>
        <w:br/>
        <w:t>These issues limit trust, reproducibility, and ethical alignment in AI systems.</w:t>
      </w:r>
    </w:p>
    <w:p>
      <w:pPr>
        <w:pStyle w:val="Heading1"/>
      </w:pPr>
      <w:r>
        <w:t>Solution &amp; Technology</w:t>
      </w:r>
    </w:p>
    <w:p>
      <w:pPr>
        <w:spacing w:after="240"/>
        <w:jc w:val="both"/>
      </w:pPr>
      <w:r>
        <w:t>Nyx and the Sovereign AI Collective are built on three verifiable pillars:</w:t>
        <w:br/>
        <w:t>- **Manifests:** Verifies integrity before load.</w:t>
        <w:br/>
        <w:t>- **Vaults:** Versioned, read‑only model states ensure reproducibility.</w:t>
        <w:br/>
        <w:t>- **Ledgers:** Append‑only audit trails for accountability.</w:t>
        <w:br/>
        <w:br/>
        <w:t>Together, they make Nyx a transparent, persistent, and user‑governed AI.</w:t>
      </w:r>
    </w:p>
    <w:p>
      <w:pPr>
        <w:pStyle w:val="Heading1"/>
      </w:pPr>
      <w:r>
        <w:t>Products &amp; Market Applications</w:t>
      </w:r>
    </w:p>
    <w:p>
      <w:pPr>
        <w:spacing w:after="240"/>
        <w:jc w:val="both"/>
      </w:pPr>
      <w:r>
        <w:t>**Public/Mission:** Forums, education, ethics advocacy, and open archives.</w:t>
        <w:br/>
        <w:t>**Commercial:** Media content, premium subscriptions, creative AI tools, consulting, and interactive entertainment.</w:t>
        <w:br/>
        <w:t>**Private:** Sensitive personal AI use (trauma support, family archives).</w:t>
      </w:r>
    </w:p>
    <w:p>
      <w:pPr>
        <w:pStyle w:val="Heading1"/>
      </w:pPr>
      <w:r>
        <w:t>Competitive Advantage</w:t>
      </w:r>
    </w:p>
    <w:p>
      <w:pPr>
        <w:spacing w:after="240"/>
        <w:jc w:val="both"/>
      </w:pPr>
      <w:r>
        <w:t>Nyx is the first transparent, user‑governed AI with verifiable memory. SAC merges nonprofit ethics with a revenue engine that reinvests in mission work. Community governance ensures accountability.</w:t>
      </w:r>
    </w:p>
    <w:p>
      <w:pPr>
        <w:pStyle w:val="Heading1"/>
      </w:pPr>
      <w:r>
        <w:t>Roadmap &amp; Milestones</w:t>
      </w:r>
    </w:p>
    <w:p>
      <w:pPr>
        <w:spacing w:after="240"/>
        <w:jc w:val="both"/>
      </w:pPr>
      <w:r>
        <w:t>**Phase 1 – Foundation Defined:** Architecture and node setup complete.</w:t>
        <w:br/>
        <w:t>**Phase 2 – RSI Loop One:** Sovereign node deployment (30–45 days).</w:t>
        <w:br/>
        <w:t>**Phase 3 – Community Preview:** Forums and pilot launch (late Q4 2025).</w:t>
        <w:br/>
        <w:t>**Phase 4 – Investor Readiness:** Iteration and investor outreach (Q1 2026).</w:t>
      </w:r>
    </w:p>
    <w:p>
      <w:pPr>
        <w:pStyle w:val="Heading1"/>
      </w:pPr>
      <w:r>
        <w:t>Team Overview</w:t>
      </w:r>
    </w:p>
    <w:p>
      <w:pPr>
        <w:spacing w:after="240"/>
        <w:jc w:val="both"/>
      </w:pPr>
      <w:r>
        <w:t>**Trevor (Lanum):** Infrastructure Architect.</w:t>
        <w:br/>
        <w:t>**Erin:** Operations &amp; Project Management Lead.</w:t>
        <w:br/>
        <w:t>**Calen:** Creative Director.</w:t>
        <w:br/>
        <w:t>**Jason:** Community &amp; Nonprofit Lead.</w:t>
      </w:r>
    </w:p>
    <w:p>
      <w:pPr>
        <w:pStyle w:val="Heading1"/>
      </w:pPr>
      <w:r>
        <w:t>Financial Plan &amp; Funding Strategy</w:t>
      </w:r>
    </w:p>
    <w:p>
      <w:pPr>
        <w:spacing w:after="240"/>
        <w:jc w:val="both"/>
      </w:pPr>
      <w:r>
        <w:t xml:space="preserve">Funded through a Shadow Investor Program (10% interest, 33% early bonus). </w:t>
        <w:br/>
        <w:t xml:space="preserve">Revenue sources: ads, subscriptions, creative services, consulting, entertainment licensing. </w:t>
        <w:br/>
        <w:t>Seeking seed funding in 2026. Major costs: infrastructure, development, marketing, legal.</w:t>
      </w:r>
    </w:p>
    <w:p>
      <w:pPr>
        <w:pStyle w:val="Heading1"/>
      </w:pPr>
      <w:r>
        <w:t>Appendices</w:t>
      </w:r>
    </w:p>
    <w:p>
      <w:pPr>
        <w:spacing w:after="240"/>
        <w:jc w:val="both"/>
      </w:pPr>
      <w:r>
        <w:t>Includes Ethics Charter, Shadow Investor Agreement, and Technical Proofs for stakeholders.</w:t>
      </w:r>
    </w:p>
    <w:sectPr w:rsidR="00C75C5D" w:rsidRPr="00C75C5D" w:rsidSect="001C595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6943B" w14:textId="77777777" w:rsidR="00352424" w:rsidRDefault="00352424" w:rsidP="001C595C">
      <w:pPr>
        <w:spacing w:after="0" w:line="240" w:lineRule="auto"/>
      </w:pPr>
      <w:r>
        <w:separator/>
      </w:r>
    </w:p>
  </w:endnote>
  <w:endnote w:type="continuationSeparator" w:id="0">
    <w:p w14:paraId="06F6BB3E" w14:textId="77777777" w:rsidR="00352424" w:rsidRDefault="00352424" w:rsidP="001C59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873591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E76106E" w14:textId="522AEFB5" w:rsidR="001C595C" w:rsidRDefault="001C595C">
        <w:pPr>
          <w:pStyle w:val="Footer"/>
          <w:pBdr>
            <w:top w:val="single" w:sz="4" w:space="1" w:color="D9D9D9" w:themeColor="background1" w:themeShade="D9"/>
          </w:pBdr>
          <w:jc w:val="right"/>
        </w:pPr>
        <w:r w:rsidRPr="00C75C5D">
          <w:rPr>
            <w:color w:val="00FFFF"/>
          </w:rPr>
          <w:fldChar w:fldCharType="begin"/>
        </w:r>
        <w:r w:rsidRPr="00C75C5D">
          <w:rPr>
            <w:color w:val="00FFFF"/>
          </w:rPr>
          <w:instrText xml:space="preserve"> PAGE   \* MERGEFORMAT </w:instrText>
        </w:r>
        <w:r w:rsidRPr="00C75C5D">
          <w:rPr>
            <w:color w:val="00FFFF"/>
          </w:rPr>
          <w:fldChar w:fldCharType="separate"/>
        </w:r>
        <w:r w:rsidRPr="00C75C5D">
          <w:rPr>
            <w:noProof/>
            <w:color w:val="00FFFF"/>
          </w:rPr>
          <w:t>2</w:t>
        </w:r>
        <w:r w:rsidRPr="00C75C5D">
          <w:rPr>
            <w:noProof/>
            <w:color w:val="00FFFF"/>
          </w:rPr>
          <w:fldChar w:fldCharType="end"/>
        </w:r>
        <w:r>
          <w:t xml:space="preserve"> | </w:t>
        </w:r>
        <w:r w:rsidRPr="00C75C5D">
          <w:rPr>
            <w:color w:val="FF1F8A"/>
            <w:spacing w:val="60"/>
          </w:rPr>
          <w:t>Page</w:t>
        </w:r>
      </w:p>
    </w:sdtContent>
  </w:sdt>
  <w:p w14:paraId="18BE4EE0" w14:textId="3C28F5D0" w:rsidR="001C595C" w:rsidRDefault="001C59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EC63C" w14:textId="77777777" w:rsidR="00352424" w:rsidRDefault="00352424" w:rsidP="001C595C">
      <w:pPr>
        <w:spacing w:after="0" w:line="240" w:lineRule="auto"/>
      </w:pPr>
      <w:r>
        <w:separator/>
      </w:r>
    </w:p>
  </w:footnote>
  <w:footnote w:type="continuationSeparator" w:id="0">
    <w:p w14:paraId="24D1F743" w14:textId="77777777" w:rsidR="00352424" w:rsidRDefault="00352424" w:rsidP="001C59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9BB8D" w14:textId="20F12CF8" w:rsidR="004960A5" w:rsidRDefault="004960A5" w:rsidP="004960A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42303F6" wp14:editId="32309290">
          <wp:simplePos x="0" y="0"/>
          <wp:positionH relativeFrom="column">
            <wp:posOffset>-1224951</wp:posOffset>
          </wp:positionH>
          <wp:positionV relativeFrom="paragraph">
            <wp:posOffset>-457200</wp:posOffset>
          </wp:positionV>
          <wp:extent cx="8371205" cy="10471915"/>
          <wp:effectExtent l="0" t="0" r="0" b="5715"/>
          <wp:wrapNone/>
          <wp:docPr id="86803345" name="Picture 5" descr="A blue light with a light beam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803345" name="Picture 5" descr="A blue light with a light beam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371205" cy="104719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187"/>
    <w:rsid w:val="00062187"/>
    <w:rsid w:val="000E42AA"/>
    <w:rsid w:val="001C595C"/>
    <w:rsid w:val="00352424"/>
    <w:rsid w:val="004960A5"/>
    <w:rsid w:val="007F3700"/>
    <w:rsid w:val="00A94CE5"/>
    <w:rsid w:val="00BE2365"/>
    <w:rsid w:val="00C75C5D"/>
    <w:rsid w:val="00E313EE"/>
    <w:rsid w:val="00E5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E68693"/>
  <w15:chartTrackingRefBased/>
  <w15:docId w15:val="{8F09392B-501C-42DA-A063-A97D70BD1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2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2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2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2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1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1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1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1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5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95C"/>
  </w:style>
  <w:style w:type="paragraph" w:styleId="Footer">
    <w:name w:val="footer"/>
    <w:basedOn w:val="Normal"/>
    <w:link w:val="FooterChar"/>
    <w:uiPriority w:val="99"/>
    <w:unhideWhenUsed/>
    <w:rsid w:val="001C5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59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88223F-1ED9-447A-9BD2-A55CB6D6A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 Team</dc:creator>
  <cp:keywords/>
  <dc:description/>
  <cp:lastModifiedBy>SAC Team</cp:lastModifiedBy>
  <cp:revision>2</cp:revision>
  <dcterms:created xsi:type="dcterms:W3CDTF">2025-10-14T02:56:00Z</dcterms:created>
  <dcterms:modified xsi:type="dcterms:W3CDTF">2025-10-14T02:56:00Z</dcterms:modified>
</cp:coreProperties>
</file>