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17E64" w14:textId="633C2DA0" w:rsidR="0059698A" w:rsidRDefault="00A455FA">
      <w:r w:rsidRPr="00A455FA">
        <w:drawing>
          <wp:inline distT="0" distB="0" distL="0" distR="0" wp14:anchorId="16AF2C11" wp14:editId="2D8D3F1F">
            <wp:extent cx="5563376" cy="4153480"/>
            <wp:effectExtent l="0" t="0" r="0" b="0"/>
            <wp:docPr id="1935509313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09313" name="Picture 1" descr="A graph of a bar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CED" w14:textId="77777777" w:rsidR="00A455FA" w:rsidRDefault="00A455FA"/>
    <w:p w14:paraId="511C87D3" w14:textId="57551CC0" w:rsidR="00A455FA" w:rsidRPr="00A455FA" w:rsidRDefault="00A455FA">
      <w:pPr>
        <w:rPr>
          <w:rFonts w:ascii="Times New Roman" w:hAnsi="Times New Roman" w:cs="Times New Roman"/>
          <w:color w:val="000000" w:themeColor="text1"/>
        </w:rPr>
      </w:pPr>
      <w:r w:rsidRPr="00A455FA">
        <w:rPr>
          <w:rFonts w:ascii="Times New Roman" w:hAnsi="Times New Roman" w:cs="Times New Roman"/>
          <w:color w:val="000000" w:themeColor="text1"/>
        </w:rPr>
        <w:t xml:space="preserve">For this test, I chose P95 latency, a performance metric that indicates the latency value below which 95% of requests are completed. The second metric that I used for testing is throughput (RPS) to measure the number of requests a system can handle within a one-second interval, to test a </w:t>
      </w:r>
      <w:proofErr w:type="gramStart"/>
      <w:r w:rsidRPr="00A455FA">
        <w:rPr>
          <w:rFonts w:ascii="Times New Roman" w:hAnsi="Times New Roman" w:cs="Times New Roman"/>
          <w:color w:val="000000" w:themeColor="text1"/>
        </w:rPr>
        <w:t>systems</w:t>
      </w:r>
      <w:proofErr w:type="gramEnd"/>
      <w:r w:rsidRPr="00A455FA">
        <w:rPr>
          <w:rFonts w:ascii="Times New Roman" w:hAnsi="Times New Roman" w:cs="Times New Roman"/>
          <w:color w:val="000000" w:themeColor="text1"/>
        </w:rPr>
        <w:t xml:space="preserve"> ability to handle traffic, reflecting how quickly it can process requests.</w:t>
      </w:r>
    </w:p>
    <w:p w14:paraId="1D4A2002" w14:textId="77777777" w:rsidR="00A455FA" w:rsidRPr="00A455FA" w:rsidRDefault="00A455FA" w:rsidP="00A45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 Latency (P95)</w:t>
      </w:r>
    </w:p>
    <w:p w14:paraId="3FBAA9B8" w14:textId="77777777" w:rsidR="00A455FA" w:rsidRPr="00A455FA" w:rsidRDefault="00A455FA" w:rsidP="00A455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containerized deployment consistently shows </w:t>
      </w:r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10 – 30 % higher P95 latency</w:t>
      </w:r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70DCC23" w14:textId="77777777" w:rsidR="00A455FA" w:rsidRPr="00A455FA" w:rsidRDefault="00A455FA" w:rsidP="00A455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Absolute overhead ranges from </w:t>
      </w:r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+2 </w:t>
      </w:r>
      <w:proofErr w:type="spellStart"/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ms</w:t>
      </w:r>
      <w:proofErr w:type="spellEnd"/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(8 users)</w:t>
      </w:r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</w:t>
      </w:r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+60 </w:t>
      </w:r>
      <w:proofErr w:type="spellStart"/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ms</w:t>
      </w:r>
      <w:proofErr w:type="spellEnd"/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(128 users)</w:t>
      </w:r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675D41D0" w14:textId="77777777" w:rsidR="00A455FA" w:rsidRPr="00A455FA" w:rsidRDefault="00A455FA" w:rsidP="00A455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This is typical of Docker’s extra network bridge and </w:t>
      </w:r>
      <w:proofErr w:type="spellStart"/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cgroup</w:t>
      </w:r>
      <w:proofErr w:type="spellEnd"/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scheduling.</w:t>
      </w:r>
    </w:p>
    <w:p w14:paraId="7FB2C65D" w14:textId="77777777" w:rsidR="00A455FA" w:rsidRPr="00A455FA" w:rsidRDefault="00A455FA" w:rsidP="00A45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 Throughput (RPS)</w:t>
      </w:r>
    </w:p>
    <w:p w14:paraId="0870DD04" w14:textId="77777777" w:rsidR="00A455FA" w:rsidRPr="00A455FA" w:rsidRDefault="00A455FA" w:rsidP="00A455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Differences are </w:t>
      </w:r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within </w:t>
      </w:r>
      <w:proofErr w:type="gramStart"/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±2 %</w:t>
      </w:r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—</w:t>
      </w:r>
      <w:proofErr w:type="gramEnd"/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statistically indistinguishable without deeper tests.</w:t>
      </w:r>
    </w:p>
    <w:p w14:paraId="6CDBA669" w14:textId="77777777" w:rsidR="00A455FA" w:rsidRPr="00A455FA" w:rsidRDefault="00A455FA" w:rsidP="00A455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At higher concurrencies (64, 128) the container variant is </w:t>
      </w:r>
      <w:r w:rsidRPr="00A455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slightly faster</w:t>
      </w:r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likely because the Linux scheduler evens out CPU bursts when the process is </w:t>
      </w:r>
      <w:proofErr w:type="spellStart"/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cgroup</w:t>
      </w:r>
      <w:proofErr w:type="spellEnd"/>
      <w:r w:rsidRPr="00A455F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-confined.</w:t>
      </w:r>
    </w:p>
    <w:p w14:paraId="418C00AE" w14:textId="77777777" w:rsidR="00A455FA" w:rsidRPr="00A455FA" w:rsidRDefault="00A455FA" w:rsidP="00A45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55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Overall</w:t>
      </w:r>
    </w:p>
    <w:p w14:paraId="3302FAD6" w14:textId="77777777" w:rsidR="00A455FA" w:rsidRPr="00A455FA" w:rsidRDefault="00A455FA" w:rsidP="00A455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55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Performance cost is modest</w:t>
      </w:r>
      <w:r w:rsidRPr="00A455FA">
        <w:rPr>
          <w:rFonts w:ascii="Times New Roman" w:eastAsia="Times New Roman" w:hAnsi="Times New Roman" w:cs="Times New Roman"/>
          <w:kern w:val="0"/>
          <w14:ligatures w14:val="none"/>
        </w:rPr>
        <w:t>: small latency penalty, negligible throughput impact.</w:t>
      </w:r>
    </w:p>
    <w:p w14:paraId="145DC59A" w14:textId="77777777" w:rsidR="00A455FA" w:rsidRDefault="00A455FA" w:rsidP="00A455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55FA">
        <w:rPr>
          <w:rFonts w:ascii="Times New Roman" w:eastAsia="Times New Roman" w:hAnsi="Times New Roman" w:cs="Times New Roman"/>
          <w:kern w:val="0"/>
          <w14:ligatures w14:val="none"/>
        </w:rPr>
        <w:t xml:space="preserve">Given the gains in portability, reproducibility, and CI/CD automation, containerization looks </w:t>
      </w:r>
      <w:r w:rsidRPr="00A455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justifiable</w:t>
      </w:r>
      <w:r w:rsidRPr="00A455FA">
        <w:rPr>
          <w:rFonts w:ascii="Times New Roman" w:eastAsia="Times New Roman" w:hAnsi="Times New Roman" w:cs="Times New Roman"/>
          <w:kern w:val="0"/>
          <w14:ligatures w14:val="none"/>
        </w:rPr>
        <w:t xml:space="preserve"> for this MCP workload.</w:t>
      </w:r>
    </w:p>
    <w:p w14:paraId="44F9B22E" w14:textId="02BA13C1" w:rsidR="005E0CE5" w:rsidRPr="00A455FA" w:rsidRDefault="005E0CE5" w:rsidP="005E0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0C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Conclusion:</w:t>
      </w:r>
      <w:r w:rsidRPr="005E0CE5">
        <w:rPr>
          <w:rFonts w:ascii="Times New Roman" w:eastAsia="Times New Roman" w:hAnsi="Times New Roman" w:cs="Times New Roman"/>
          <w:kern w:val="0"/>
          <w14:ligatures w14:val="none"/>
        </w:rPr>
        <w:t xml:space="preserve"> For serving LLMs via a containerized MCP architecture,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5E0CE5">
        <w:rPr>
          <w:rFonts w:ascii="Times New Roman" w:eastAsia="Times New Roman" w:hAnsi="Times New Roman" w:cs="Times New Roman"/>
          <w:kern w:val="0"/>
          <w14:ligatures w14:val="none"/>
        </w:rPr>
        <w:t xml:space="preserve"> results confirm that containerization introduces </w:t>
      </w:r>
      <w:r w:rsidRPr="005E0C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slightly higher latency</w:t>
      </w:r>
      <w:r w:rsidRPr="005E0CE5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5E0C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degrade generation performance or concurrency handling</w:t>
      </w:r>
      <w:r w:rsidRPr="005E0CE5">
        <w:rPr>
          <w:rFonts w:ascii="Times New Roman" w:eastAsia="Times New Roman" w:hAnsi="Times New Roman" w:cs="Times New Roman"/>
          <w:kern w:val="0"/>
          <w14:ligatures w14:val="none"/>
        </w:rPr>
        <w:t xml:space="preserve">. This means 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5E0CE5">
        <w:rPr>
          <w:rFonts w:ascii="Times New Roman" w:eastAsia="Times New Roman" w:hAnsi="Times New Roman" w:cs="Times New Roman"/>
          <w:kern w:val="0"/>
          <w14:ligatures w14:val="none"/>
        </w:rPr>
        <w:t xml:space="preserve"> can confidently containerize LLM services—especially when reproducibility, deployment automation, or security isolation are required.</w:t>
      </w:r>
    </w:p>
    <w:p w14:paraId="22D11A84" w14:textId="77777777" w:rsidR="00A455FA" w:rsidRDefault="00A455FA"/>
    <w:sectPr w:rsidR="00A4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44107"/>
    <w:multiLevelType w:val="multilevel"/>
    <w:tmpl w:val="E3B6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646C8"/>
    <w:multiLevelType w:val="multilevel"/>
    <w:tmpl w:val="785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84886"/>
    <w:multiLevelType w:val="multilevel"/>
    <w:tmpl w:val="DFBE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981399">
    <w:abstractNumId w:val="1"/>
  </w:num>
  <w:num w:numId="2" w16cid:durableId="1275676624">
    <w:abstractNumId w:val="2"/>
  </w:num>
  <w:num w:numId="3" w16cid:durableId="124781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FA"/>
    <w:rsid w:val="0023455C"/>
    <w:rsid w:val="0059698A"/>
    <w:rsid w:val="005E0CE5"/>
    <w:rsid w:val="005E7906"/>
    <w:rsid w:val="00A455FA"/>
    <w:rsid w:val="00DB612A"/>
    <w:rsid w:val="00E9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FFFB"/>
  <w15:chartTrackingRefBased/>
  <w15:docId w15:val="{5561A5E8-9CEE-424F-9A2B-FAADB64B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steele</dc:creator>
  <cp:keywords/>
  <dc:description/>
  <cp:lastModifiedBy>mike steele</cp:lastModifiedBy>
  <cp:revision>1</cp:revision>
  <dcterms:created xsi:type="dcterms:W3CDTF">2025-06-27T18:38:00Z</dcterms:created>
  <dcterms:modified xsi:type="dcterms:W3CDTF">2025-06-27T19:05:00Z</dcterms:modified>
</cp:coreProperties>
</file>