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blue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red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t>本文转自：</w:t>
      </w: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red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red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"https://www.cnblogs.com/kevingrace/p/6479813.html" </w:instrText>
      </w: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red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red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t>https://www.cnblogs.com/kevingrace/p/6479813.htm</w:t>
      </w:r>
      <w:r>
        <w:rPr>
          <w:rStyle w:val="4"/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blue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red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 w:themeColor="text1"/>
          <w:spacing w:val="0"/>
          <w:sz w:val="15"/>
          <w:szCs w:val="15"/>
          <w:highlight w:val="blue"/>
          <w:bdr w:val="none" w:color="auto" w:sz="0" w:space="0"/>
          <w:shd w:val="clear" w:fill="FEFEF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之前部署了Gitlab的代码托管平台和Jenkins的代码发布平台。通常是开发后的代码先推到Gitlab上管理，然后在Jenkins里通过脚本构建代码发布。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EFEF2"/>
        </w:rPr>
        <w:t>这种方式每次在发版的时候，需要人工去执行jenkins上的构建动作，有时显得过于繁琐。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于是就想到了Gitlab的Webhook功能，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通过Webhook的相关设置，可以实现代码Push后，自动去触发jenkins上的构建动作，这样就不需要人工干预去执行发版操作了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。设置如下：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99"/>
        </w:rPr>
        <w:t>1）Jenkins上的操作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EFEF2"/>
        </w:rPr>
        <w:t>通常，jenkins在项目配置时是可以配置远程构建触发器，设置好jenkins的回调url后就可以让jenkins进行自动构建。这就需要先下载Gitlab Hook Plugin 插件。登陆Jenkins，分别点击"系统管理"-&gt;"插件管理"-&gt;"可选插件"，选择Gitlab Hook Plugin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5086350" cy="419100"/>
            <wp:effectExtent l="0" t="0" r="381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EFEF2"/>
        </w:rPr>
        <w:t>然后构建相应的项目工程，比如下面的test-wx（下面最关键的是第2步中查看url，然后用这个url回调地址去Gitlab的webhook上添加）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EFEF2"/>
        </w:rPr>
        <w:t>a）先设置代码的git下载路径，这里通过ssh方式（需要提前将Jenkins本机的key添加到Gitlab上）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10925175" cy="5753100"/>
            <wp:effectExtent l="0" t="0" r="1905" b="762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EFEF2"/>
        </w:rPr>
        <w:t>b）查看jenkin生成回调地址。在任务重构建触发器下获取回调URL。下面的URL那一行只有Gitlab Hook Plugin插件下载成功后才能显示。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10982325" cy="3648075"/>
            <wp:effectExtent l="0" t="0" r="571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2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EFEF2"/>
        </w:rPr>
        <w:t>c）然后设置代码发布的推送脚本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8277225" cy="4333875"/>
            <wp:effectExtent l="0" t="0" r="1333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99"/>
        </w:rPr>
        <w:t>2）Gitlab上的操作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15"/>
          <w:szCs w:val="15"/>
          <w:bdr w:val="none" w:color="auto" w:sz="0" w:space="0"/>
          <w:shd w:val="clear" w:fill="FEFEF2"/>
        </w:rPr>
        <w:t>登陆Gitlab上的testwx3项目中，添加webhook（用上面Jenkins中生成的回调url）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5534025" cy="2171700"/>
            <wp:effectExtent l="0" t="0" r="13335" b="762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FF00FF"/>
          <w:spacing w:val="0"/>
          <w:sz w:val="15"/>
          <w:szCs w:val="15"/>
          <w:bdr w:val="none" w:color="auto" w:sz="0" w:space="0"/>
          <w:shd w:val="clear" w:fill="FEFEF2"/>
        </w:rPr>
        <w:t>然后点击这个项目的"Settings"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2038350" cy="4381500"/>
            <wp:effectExtent l="0" t="0" r="3810" b="762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9715500" cy="6953250"/>
            <wp:effectExtent l="0" t="0" r="7620" b="1143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添加成功后，点击此webhook后面的test进行测试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9401175" cy="1600200"/>
            <wp:effectExtent l="0" t="0" r="1905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FF00FF"/>
          <w:spacing w:val="0"/>
          <w:sz w:val="15"/>
          <w:szCs w:val="15"/>
          <w:bdr w:val="none" w:color="auto" w:sz="0" w:space="0"/>
          <w:shd w:val="clear" w:fill="FEFEF2"/>
        </w:rPr>
        <w:t>如果返回Hook successfully executed.表示配置成功。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15"/>
          <w:szCs w:val="15"/>
          <w:bdr w:val="none" w:color="auto" w:sz="0" w:space="0"/>
          <w:shd w:val="clear" w:fill="FEFEF2"/>
        </w:rPr>
        <w:t>这样，下次push代码后，就会自动触发jenkins上相关的构建工程进行自动发布了！无需人工干预~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3552825" cy="2085975"/>
            <wp:effectExtent l="0" t="0" r="13335" b="1905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------------------------------------------------------------------------------------------------------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如上设置后，比如在gitlab的testwx3项目代码库中push一个test.txt文件，然后测试下是否自动发布了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4981575" cy="2990850"/>
            <wp:effectExtent l="0" t="0" r="1905" b="1143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然后去Jenkins上查看，如下发现已经自动发布了！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6153150" cy="4781550"/>
            <wp:effectExtent l="0" t="0" r="3810" b="381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最后去目标机器192.168.1.19的/tmp/testwx目录下发现test.txt文件已经发布过来了~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drawing>
          <wp:inline distT="0" distB="0" distL="114300" distR="114300">
            <wp:extent cx="4638675" cy="923925"/>
            <wp:effectExtent l="0" t="0" r="9525" b="571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2018-01-17T02:01:47Z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