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730FD" w14:textId="77777777" w:rsidR="00E45843" w:rsidRPr="00E45843" w:rsidRDefault="00E45843" w:rsidP="00E458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АППАРАТНЫЕ ТРЕБОВАНИЯ (ЖЕЛАТЕЛЬНАЯ КОНФИГУРАЦИЯ)</w:t>
      </w:r>
    </w:p>
    <w:p w14:paraId="0B6F1F13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t>1. Форм-фактор</w:t>
      </w:r>
    </w:p>
    <w:p w14:paraId="61AEC4CD" w14:textId="2AFDDA4B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Сервер в корпусе типа Tower или стоечного исполнения 1U.</w:t>
      </w:r>
    </w:p>
    <w:p w14:paraId="66879C9A" w14:textId="67AC4064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Стоечный сервер 1U.</w:t>
      </w:r>
    </w:p>
    <w:p w14:paraId="541BEB5D" w14:textId="562F31AA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Профессиональное исполнение, оптимизированное для круглосуточной работы в стойке, обеспечивает лучшее охлаждение и стандартизацию инфраструктуры.</w:t>
      </w:r>
    </w:p>
    <w:p w14:paraId="4E213D74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t>2. Процессор (CPU)</w:t>
      </w:r>
    </w:p>
    <w:p w14:paraId="58B2901A" w14:textId="15F86FEA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1 процессор Intel Xeon серии E-23xx или AMD EPYC серии 8004 (8 ядер / 16 потоков).</w:t>
      </w:r>
    </w:p>
    <w:p w14:paraId="576B99C6" w14:textId="76EA3048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2 процессора Intel Xeon Silver 4410Y (по 12 ядер / 24 потока на сокет, итого 24 ядра).</w:t>
      </w:r>
    </w:p>
    <w:p w14:paraId="0506FB04" w14:textId="114B36EA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Архитектура с двумя сокетами обеспечивает резервирование на уровне процессора (при отказе одного часть работы продолжается) и создает запас вычислительной мощности для будущего роста нагрузки.</w:t>
      </w:r>
    </w:p>
    <w:p w14:paraId="77D88285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t>3. Оперативная память (RAM)</w:t>
      </w:r>
    </w:p>
    <w:p w14:paraId="4712F745" w14:textId="0D86731F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64 ГБ DDR4 с поддержкой коррекции ошибок (ECC).</w:t>
      </w:r>
    </w:p>
    <w:p w14:paraId="7A851A41" w14:textId="79FB2401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128 ГБ DDR5 ECC (рекомендуется начать с 2 модулей по 64 ГБ).</w:t>
      </w:r>
    </w:p>
    <w:p w14:paraId="2BB23ED2" w14:textId="32A13FF6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Память с коррекцией ошибок (ECC) обязательна для обеспечения целостности данных. Указанный объем позволит полностью кэшировать активную часть базы данных в памяти, что многократно увеличит скорость отклика. Конфигурация оставляет свободные слоты для простого увеличения объема в будущем.</w:t>
      </w:r>
    </w:p>
    <w:p w14:paraId="7020C0F9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lastRenderedPageBreak/>
        <w:t>4. Система хранения (Ключевой компонент для доступности)</w:t>
      </w:r>
    </w:p>
    <w:p w14:paraId="69CFCBA4" w14:textId="6F1F951C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Данные базы данных и журналы транзакций:</w:t>
      </w:r>
    </w:p>
    <w:p w14:paraId="7CDC7D82" w14:textId="29A83DB9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2 твердотельных накопителя (SSD) SATA объемом 480 ГБ каждый, объединенные в отказоустойчивый массив RAID 1 (зеркало).</w:t>
      </w:r>
    </w:p>
    <w:p w14:paraId="5A5CDB42" w14:textId="3654A113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2-4 высокопроизводительных NVMe SSD (форм-фактор U.2) объемом 960 ГБ каждый, объединенные в массив RAID 10 через аппаратный RAID-контроллер. Контроллер должен иметь кэш-память объемом 1-2 ГБ с защитой от сбоев питания (BBU или флеш-память).</w:t>
      </w:r>
    </w:p>
    <w:p w14:paraId="3B07BD96" w14:textId="67B41896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RAID 10 обеспечивает оптимальный баланс между отказоустойчивостью и производительностью. NVMe-накопители дают многократный запас по скорости ввода-вывода (IOPS) для обработки транзакций. Кэш контроллера значительно ускоряет операции записи.</w:t>
      </w:r>
    </w:p>
    <w:p w14:paraId="467F6902" w14:textId="032025A9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Операционная система:</w:t>
      </w:r>
    </w:p>
    <w:p w14:paraId="26ED4AE4" w14:textId="106C2E11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1 SSD SATA объемом 240 ГБ.</w:t>
      </w:r>
    </w:p>
    <w:p w14:paraId="6629A053" w14:textId="48949325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2 SSD SATA объемом 240 ГБ каждый, объединенные в массив RAID 1.</w:t>
      </w:r>
    </w:p>
    <w:p w14:paraId="0970DFA2" w14:textId="06DDCD55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Выделенные диски для ОС обеспечивают изоляцию системной нагрузки от нагрузки базы данных и повышают надежность загрузки сервера.</w:t>
      </w:r>
    </w:p>
    <w:p w14:paraId="15CEFB34" w14:textId="061AF605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Резервные копии:</w:t>
      </w:r>
    </w:p>
    <w:p w14:paraId="344010B6" w14:textId="535CE3E0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Внешний жесткий диск или сетевое хранилище (NAS).</w:t>
      </w:r>
    </w:p>
    <w:p w14:paraId="2FA399DE" w14:textId="2D9EDBD9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Выделенный NAS или облачное S3-совместимое хранилище.</w:t>
      </w:r>
    </w:p>
    <w:p w14:paraId="26C5B63A" w14:textId="4264D4A5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 xml:space="preserve">Обоснование: Следование правилу 3-2-1 резервного копирования (3 копии данных, 2 разных носителя, 1 копия вне площадки). Хранение бэкапов </w:t>
      </w:r>
      <w:r w:rsidRPr="00E45843">
        <w:rPr>
          <w:rFonts w:ascii="Times New Roman" w:hAnsi="Times New Roman" w:cs="Times New Roman"/>
          <w:sz w:val="28"/>
          <w:szCs w:val="28"/>
        </w:rPr>
        <w:lastRenderedPageBreak/>
        <w:t>физически отдельно от основного сервера защищает данные от аппаратных сбоев и локальных инцидентов.</w:t>
      </w:r>
    </w:p>
    <w:p w14:paraId="09EC8FE3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t>5. Сетевая подсистема</w:t>
      </w:r>
    </w:p>
    <w:p w14:paraId="0C520956" w14:textId="313E9C5A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2 встроенных гигабитных сетевых порта (2 x 1 GbE).</w:t>
      </w:r>
    </w:p>
    <w:p w14:paraId="3646F6AD" w14:textId="4A00FD70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2 скоростных сетевых порта 10 GbE (интерфейс SFP+ или Base-T).</w:t>
      </w:r>
    </w:p>
    <w:p w14:paraId="45272369" w14:textId="23079C3D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Пропускной способности 10 GbE достаточно для обработки пиковых нагрузок, быстрого выполнения резервного копирования и организации репликации данных. Объединение портов (LACP) повысит отказоустойчивость и доступную полосу пропускания.</w:t>
      </w:r>
    </w:p>
    <w:p w14:paraId="09865335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t>6. Блок питания (PSU)</w:t>
      </w:r>
      <w:bookmarkStart w:id="0" w:name="_GoBack"/>
      <w:bookmarkEnd w:id="0"/>
    </w:p>
    <w:p w14:paraId="13F55FA9" w14:textId="76018EDF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1 блок питания мощностью 450 Вт.</w:t>
      </w:r>
    </w:p>
    <w:p w14:paraId="53986B8F" w14:textId="34D3027D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2 резервируемых блока питания мощностью 550 Вт каждый с сертификатом эффективности не ниже Platinum. Блоки должны поддерживать горячую замену.</w:t>
      </w:r>
    </w:p>
    <w:p w14:paraId="0E5AA7F6" w14:textId="1E134A75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Обоснование: Избыточность (N+1) блоков питания является критически важным элементом для обеспечения круглосуточной доступности сервера. При выходе из строя одного блока, второй продолжает питать систему без прерывания работы.</w:t>
      </w:r>
    </w:p>
    <w:p w14:paraId="46EA34E0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843">
        <w:rPr>
          <w:rFonts w:ascii="Times New Roman" w:hAnsi="Times New Roman" w:cs="Times New Roman"/>
          <w:b/>
          <w:sz w:val="28"/>
          <w:szCs w:val="28"/>
        </w:rPr>
        <w:t>7. Охлаждение</w:t>
      </w:r>
    </w:p>
    <w:p w14:paraId="407F89A3" w14:textId="651C2432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Минимальные требования: Стандартная система охлаждения сервера.</w:t>
      </w:r>
    </w:p>
    <w:p w14:paraId="0234D4BB" w14:textId="03A58D20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t>Рекомендуемые требования: Система с избыточными (резервируемыми) вентиляторами, поддерживающими горячую замену.</w:t>
      </w:r>
    </w:p>
    <w:p w14:paraId="3FD1ADD3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843">
        <w:rPr>
          <w:rFonts w:ascii="Times New Roman" w:hAnsi="Times New Roman" w:cs="Times New Roman"/>
          <w:sz w:val="28"/>
          <w:szCs w:val="28"/>
        </w:rPr>
        <w:lastRenderedPageBreak/>
        <w:t>Обоснование: Предотвращение перегрева и автоматического отключения сервера в случае выхода из строя одного из кулеров, что напрямую влияет на общую надежность системы.</w:t>
      </w:r>
    </w:p>
    <w:p w14:paraId="2DA358A8" w14:textId="77777777" w:rsidR="00E45843" w:rsidRPr="00E45843" w:rsidRDefault="00E45843" w:rsidP="00E45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45843" w:rsidRPr="00E45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F6"/>
    <w:rsid w:val="00344CF6"/>
    <w:rsid w:val="00E4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9B86"/>
  <w15:chartTrackingRefBased/>
  <w15:docId w15:val="{BDE36ECA-BD61-4C7F-B971-93C057B6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5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1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2026-02-06T05:22:00Z</dcterms:created>
  <dcterms:modified xsi:type="dcterms:W3CDTF">2026-02-06T05:28:00Z</dcterms:modified>
</cp:coreProperties>
</file>