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пр2-гипотезы-роста-выручки-юmoney"/>
    <w:p>
      <w:pPr>
        <w:pStyle w:val="Heading1"/>
      </w:pPr>
      <w:r>
        <w:t xml:space="preserve">ПР2 — Гипотезы роста выручки: ЮMoney</w:t>
      </w:r>
    </w:p>
    <w:p>
      <w:pPr>
        <w:pStyle w:val="FirstParagraph"/>
      </w:pPr>
      <w:r>
        <w:t xml:space="preserve">07.10.2026 · Raf</w:t>
      </w:r>
    </w:p>
    <w:p>
      <w:pPr>
        <w:pStyle w:val="BodyText"/>
      </w:pPr>
      <w:r>
        <w:t xml:space="preserve">Пять проверяемых гипотез о выручке ЮMoney после лебедей 48 и 67 вместе дают 1,4–3,9% выручки 2025 года (27,55 млрд ₽) — внутри коридора набора из пяти (1–4%). Главная — удержать топ-30 магазинов ЮKassa; гипотеза про ИИ-инструменты в разработке приближает запуск новых продуктов на 1–2 месяца.</w:t>
      </w:r>
    </w:p>
    <w:bookmarkStart w:id="20" w:name="паспорт-проекта"/>
    <w:p>
      <w:pPr>
        <w:pStyle w:val="Heading2"/>
      </w:pPr>
      <w:r>
        <w:t xml:space="preserve">Паспорт проекта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Бизнес и выручка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ЮMoney (ООО НКО «ЮМани», 100% у Сбера): приём платежей ЮKassa, кошелёк и карты, BaaS-платформа ЮSoft; выручка 27,55 млрд ₽ за 2025 год (1% ≈ 276 млн ₽), после лебедя 67 ≈ 18,4 млрд ₽ в годовом выражении (А14)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Направления и доли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ЮKassa (интернет-эквайринг) ≈ 89%, переводы физлиц ≈ 6%, платежи физлиц ≈ 4% — доли трёх статей комиссии по РСБУ за I полугодие 2024 (А1); карты, ЮSoft и ЮBusiness в этих статьях не выделены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Состояние ИТ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Поставщик услуг; ИТ-функция в красной зоне: 456 из 1124 сотрудников (≈ 41%) под сокращением опекса на 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Главное слабое место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≈ 89% комиссии из одного направления; интерфейс по лебедю 48 не запущен в срок, штраф и предписание ЦБ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Ограничения на раскрытие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Доли направлений и выручка ЮSoft не раскрыты; единственный публичный срез — РСБУ за I полугодие 2024; численность (1124, из них 456 в ИТ) — внутренние данные; все оценки гипотез — допущения из реестра</w:t>
            </w:r>
          </w:p>
        </w:tc>
      </w:tr>
    </w:tbl>
    <w:bookmarkEnd w:id="20"/>
    <w:bookmarkStart w:id="21" w:name="что-изменилось-после-пр1"/>
    <w:p>
      <w:pPr>
        <w:pStyle w:val="Heading2"/>
      </w:pPr>
      <w:r>
        <w:t xml:space="preserve">Что изменилось после ПР1</w:t>
      </w:r>
    </w:p>
    <w:p>
      <w:pPr>
        <w:pStyle w:val="FirstParagraph"/>
      </w:pPr>
      <w:r>
        <w:t xml:space="preserve">После ПР1 оба сценария прошли дальше «уже случилось» и оставили шесть долгов: два к ПР2 и четыре к следующим работам. Долги к ПР2 дают обязательный проект и очерёдность гипотез, а долги к следующим лебедям ставят ограничения, которых нельзя нарушить. Эффект «Шрам» означает, что последствия не исчезают после устранения причины и переходят в план.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Долг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Из какого лебедя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Что это делает с ПР2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Где учтено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ЦБ выдал предписание запустить интерфейс в новый срок, штраф наложен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48, долг к ПР2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Интерфейс — обязательный проект по предписанию, а не гипотеза: в рейтинге не участвует, но задаёт даты для Г3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Раздел «Приоритизация», ограничение по людям; гипотеза Г3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Собственники требуют ответа: какие продукты плана восстановления компания выпустит оставшейся командой и когда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67, долг к ПР2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Нужны ёмкость команды и очерёдность выпуска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Гипотезы Г2–Г5, раздел «В работу и в резерв»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Кредиторы требуют объяснить, почему обязательный проект не попал в план, и пересматривают условия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48, долг к следующим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Каждая гипотеза несёт эффект в рублях и опровергающее наблюдение, чтобы проходить согласование кредиторов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Все карточки, привязка к P&amp;L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Крупные магазины без данных требуют выдачи и переходят к банкам маркетплейсов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48, долг к следующим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Угроза самой крупной статье выручки (≈ 89% комиссии — ЮKassa)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Гипотеза Г1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ЦБ запрашивает оценку операционной надёжности после ухода ключевых специалистов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67, долг к следующим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Люди платёжного ядра не входят в ёмкость гипотез, иначе ответ ЦБ станет хуже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Раздел «Приоритизация», ограничение ёмкости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Клиенты ЮSoft, встроившие сервисы ЮMoney, требуют сроков по замороженному развитию или готовят уход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67, долг к следующим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Нужны даты и деньги от партнёров заранее, иначе уходит повторяющаяся выручка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Гипотеза Г3</w:t>
            </w:r>
          </w:p>
        </w:tc>
      </w:tr>
    </w:tbl>
    <w:p>
      <w:pPr>
        <w:pStyle w:val="BodyText"/>
      </w:pPr>
      <w:r>
        <w:t xml:space="preserve">Уже принятые шаги из Антикризисный план ЮMoney: лебеди 48 и 67 — ручная выдача данных за 2 рабочих дня, интерфейс на базе ЮSoft в три этапа, Клуб ЮMoney, открытый порог закупок, команда восстановления из 5–7 человек, «топы» в дочерней компании — считаются действующими. Гипотезы ниже опираются на них и не требуют других ресурсов.</w:t>
      </w:r>
    </w:p>
    <w:bookmarkEnd w:id="21"/>
    <w:bookmarkStart w:id="22" w:name="точки-приложения"/>
    <w:p>
      <w:pPr>
        <w:pStyle w:val="Heading2"/>
      </w:pPr>
      <w:r>
        <w:t xml:space="preserve">Точки приложения</w:t>
      </w:r>
    </w:p>
    <w:p>
      <w:pPr>
        <w:pStyle w:val="FirstParagraph"/>
      </w:pPr>
      <w:r>
        <w:t xml:space="preserve">Пять гипотез выросли из трёх источников ПР1: красной и жёлтой зоны, шагов пути от заказа до денег и разрыва с отраслевым ориентиром. Каждая строка ниже ссылается на конкретный пункт прошлой работы.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Точка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Из какого пункта ПР1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Что там видно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Гипотезы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Жёлтая зона: концентрация выручки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п. 2 и п. 8, допущение А1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≈ 89% комиссии — из интернет-эквайринга ЮKassa; при падении выручки на треть потеря крупных магазинов опаснее всего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Г1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Красная зона: ИТ-функция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п. 5 и п. 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41% штата под сокращением, а обязательный интерфейс и рост зависят от тех же людей; развитие ЮSoft заморожено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Г2, Г3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Шаг 5 пути: «Рассчитаться с магазином»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п. 4, допущение А2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из комиссионных доходов остаётся только ≈ 29%; каждый потерянный магазин уходит вместе с этой маржой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Г1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Давление банков маркетплейсов на базу физлиц (дополнение к п. 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п. 3 и источник 27 ПР1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доля банков маркетплейсов на рынке электронных денег выросла с 2% до 40% за три года; платежи через них удвоились: 9,8 трлн ₽ в 2025 году против 4,8 трлн; рост ЮMoney замедлился с +16% до +12%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Г4, Г5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Новые каналы: ЮSoft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п. 3 и п. 8 (проекты «держать»)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ЮSoft запущена 25.09.2025, выручка не раскрыта; клиенты ждут дат, а команда сокращается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Г3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Разрыв с отраслевым ориентиром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п. 1 и п.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до лебедей ЮMoney росла на 12% против рынка +9%; после лебедя 67 — около −33% против +9%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все, как шкала сравнения</w:t>
            </w:r>
          </w:p>
        </w:tc>
      </w:tr>
    </w:tbl>
    <w:p>
      <w:pPr>
        <w:pStyle w:val="BodyText"/>
      </w:pPr>
      <w:r>
        <w:rPr>
          <w:bCs/>
          <w:b/>
        </w:rPr>
        <w:t xml:space="preserve">Дополнение к ПР1 (п. 3).</w:t>
      </w:r>
      <w:r>
        <w:t xml:space="preserve"> </w:t>
      </w:r>
      <w:r>
        <w:t xml:space="preserve">В ПР1 зона «Клиенты и каналы» зелёная. Чтобы Г4 и Г5 опирались на слабую точку, а не на зелёную, предлагаю считать её жёлтой: признаки — удвоение платежей через банки маркетплейсов (9,8 против 4,8 трлн ₽), рост их доли на рынке электронных денег с 2% до 40% и замедление роста ЮMoney с +16% до +12%. Г3 опирается на красную зону «ИТ-функция»: сокращение 41% штата останавливает развитие ЮSoft, и клиенты требуют сроков.</w:t>
      </w:r>
    </w:p>
    <w:p>
      <w:pPr>
        <w:pStyle w:val="BodyText"/>
      </w:pPr>
      <w:r>
        <w:rPr>
          <w:bCs/>
          <w:b/>
        </w:rPr>
        <w:t xml:space="preserve">Коридор.</w:t>
      </w:r>
      <w:r>
        <w:t xml:space="preserve"> </w:t>
      </w:r>
      <w:r>
        <w:t xml:space="preserve">Для ЮMoney выдан коридор (база — выручка 2025 года, 27,55 млрд ₽): одно улучшение — 0,3–1,5% выручки, набор из пяти — 1–4%; сравнение гипотез с ним — в разделе «Привязка к P&amp;L». Разрыв с ориентиром рынка: около 42 п.п. (−33% против +9%). Полностью закрыть его гипотезами нельзя, поэтому задача — остановить падение и дать первый прирост.</w:t>
      </w:r>
    </w:p>
    <w:bookmarkEnd w:id="22"/>
    <w:bookmarkStart w:id="28" w:name="карточки-гипотез"/>
    <w:p>
      <w:pPr>
        <w:pStyle w:val="Heading2"/>
      </w:pPr>
      <w:r>
        <w:t xml:space="preserve">Карточки гипотез</w:t>
      </w:r>
    </w:p>
    <w:p>
      <w:pPr>
        <w:pStyle w:val="FirstParagraph"/>
      </w:pPr>
      <w:r>
        <w:t xml:space="preserve">Пять карточек по одной форме из девяти полей, и все пять двигают выручку. Обязательный интерфейс по предписанию ЦБ — не гипотеза, а проект-ограничение (≈ 10 чел.-мес. ёмкости), поэтому он в карточки не входит. Г2 — гипотеза про ИТизацию: внедряемые ИИ-инструменты. Размеры пилотов (30 магазинов, 2 × 20 000 клиентов, 50 000 предложений) мы выбираем сами, это не факты о компании; остальные числа — расчёт от данных ПР1 или допущения А15–А27 из реестра ниже.</w:t>
      </w:r>
    </w:p>
    <w:bookmarkStart w:id="23" w:name="X0621dee8f71a97adb990e2e1e190e6f2d55bbbd"/>
    <w:p>
      <w:pPr>
        <w:pStyle w:val="Heading3"/>
      </w:pPr>
      <w:r>
        <w:t xml:space="preserve">Г1. Топ-30 магазинов ЮKassa остаются, если выдать им данные за 2 рабочих дня и зафиксировать комиссию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Формулировка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Если 30 крупнейшим магазинам ЮKassa выдавать данные вручную за 2 рабочих дня (3 сотрудника и юрист) и письменно зафиксировать действующую комиссию на 12 месяцев, то оборот группы за 60 дней не упадёт больше чем на 5%, потому что магазины уходят к банкам маркетплейсов из-за невыданных данных и риска повышения комиссии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Строка P&amp;L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Выручка: комиссии ЮKassa (≈ 89% выручки)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Показатель и текущее значение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Оборот топ-30 за 60 дней после первого ответа к обороту за 60 дней до запроса, %; число ушедших (оборот упал на 50% и более). Сейчас не измеряется: месяц запросы оставались без ответа; без действий ожидаем потерю 1–3% комиссий ЮKassa (А22)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Порог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Оборот группы не ниже 95% от базы, ушло не более 2 магазинов из 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Срок проверки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60 дней после первого ответа; ручная выдача стартует в первый месяц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Опровергающее наблюдение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Данные выданы в срок (в 90% запросов за 2 рабочих дня), но оборот группы ниже 95% или ушли 3 магазина и больше. Значит, причина не в данных, а в цене и условиях банков маркетплейсов; гипотезу снимаем и готовим ценовое предложение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Риск или неопределённость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Неопределённость: частота ухода магазинов после запроса данных неизвестна, поэтому нужен пилот на 30 магазинах, а не расчёт по статистике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Что нужно для проверки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Список топ-30 по обороту за 12 месяцев; журнал запросов и сроков ответа; 3 сотрудника и юрист; решение коммерческого блока о фиксации комиссии; письмо регулятору о временной ручной выдаче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Допущения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ЮKassa ≈ 89% выручки (А15); без вмешательства уходит 1–3% комиссий (А22); размер пилота — наш выбор (А25); ручная выдача допустима регулятору как временная мера (проверяет юрист)</w:t>
            </w:r>
          </w:p>
        </w:tc>
      </w:tr>
    </w:tbl>
    <w:bookmarkEnd w:id="23"/>
    <w:bookmarkStart w:id="24" w:name="Xf438654ef83b4b2c3505e940ec5d8413796f17b"/>
    <w:p>
      <w:pPr>
        <w:pStyle w:val="Heading3"/>
      </w:pPr>
      <w:r>
        <w:t xml:space="preserve">Г2 (ИТизация). ИИ-инструменты сокращают трудозатраты на продукты на 20–35%, и доход приходит на 1–2 месяца раньше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Формулировка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Если команды интерфейса и восстановления применяют ИИ-ассистенты для кода, тестов и описания API по правилу «ИИ пишет, человек проверяет, тесты обязательны», то трудозатраты на продукты Г3–Г5 упадут на 20–35% и они запустятся на 1–2 месяца раньше, потому что большая часть работы — типовой код, тесты и документация API платформы ЮSoft, где ИИ уже ускоряет разработку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Строка P&amp;L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Выручка: ранний старт продуктов Г3–Г5 (месяцы выручки, сдвинутые вперёд)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Показатель и текущее значение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Трудозатраты на задачу, человеко-дни, и срок от задачи до релиза. Сейчас: ≈ 4 чел.-дн на типовую задачу (среднее по составу работ в А18; точный замер — первые 2 недели Г2); ИИ-инструменты вводятся, ускорение по опыту сотрудников не измерено (А17)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Порог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На 10 типовых задачах трудозатраты в среднем ниже на 20% и больше (не более 3,2 чел.-дн против 4); доля задач, вернувшихся с ревью, не выросла более чем на 5 п.п.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Срок проверки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6 недель замеров, затем пересчёт плана на 3-м месяце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Опровергающее наблюдение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Экономия меньше 10% или возвраты с ревью выросли больше чем на 5 п.п. Значит, время уходит на проверку и правку ИИ-кода; сроки в плане возвращаем к прежним, а Г2 снимаем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Риск или неопределённость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Риск с известной частотой: ошибки ИИ-кода ловят ревью и тесты, их долю можно измерить. Неопределённость: эффект на новые продукты без аналогов; исследования дают разброс от −56% до +19% времени, поэтому диапазон проверяем замером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Что нужно для проверки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Лицензии на ИИ-инструменты (уже вводятся; 20 мест × 10 тыс. ₽ в месяц = 2,4 млн ₽ в год, вычтено из эффекта, А26); 10 типовых задач из очереди; срок от задачи до релиза из трекера; правила ревью; ограничения ИБ на передачу кода и данных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Допущения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Экономия 20–35% — диапазон для проверки: в исследованиях −21% времени (Google, 96 инженеров), −56% (Copilot, учебная задача) и +19% (METR, опытные разработчики), см. А17; эффект реализуется только через Г3–Г5; в платёжное ядро ИИ-код идёт лишь через усиленное ревью, чтобы не ухудшить ответ ЦБ по надёжности</w:t>
            </w:r>
          </w:p>
        </w:tc>
      </w:tr>
    </w:tbl>
    <w:bookmarkEnd w:id="24"/>
    <w:bookmarkStart w:id="25" w:name="X4590d613633608227206a6ab65ddb730e07cf37"/>
    <w:p>
      <w:pPr>
        <w:pStyle w:val="Heading3"/>
      </w:pPr>
      <w:r>
        <w:t xml:space="preserve">Г3. Не менее 4 годовых договоров ЮSoft с предоплатой благодаря трём датам дорожной карты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Формулировка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Если клиентам ЮSoft, требующим сроков, показать дорожную карту с тремя датами (этап 1 интерфейса, стабильное API v2, план поддержки) и предложить годовой договор со скидкой 10% за 100% предоплату, то будет подписано не менее 4 договоров (удержаны минимум 3 клиента из 4 требовавших и привлечён минимум 1 новый), потому что клиенты уходят из-за неопределённости сроков, а не из-за функций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Строка P&amp;L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Выручка: ЮSoft (годовые договоры с предоплатой)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Показатель и текущее значение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Число подписанных годовых договоров с предоплатой и число ушедших из требовавших сроков. Сейчас: клиенты и выручка ЮSoft не раскрыты (А9); допущение — 5 клиентов, из них 4 требуют сроков (А20)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Порог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Не менее 4 договоров с предоплатой; ушёл не более 1 клиента из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Срок проверки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 месяца после публикации дорожной карты (публикуем сразу после этапа 1 интерфейса)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Опровергающее наблюдение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Карта опубликована, но предоплату подписали меньше 2 клиентов или ушли 2 и больше. Значит, причина в цене или в недоверии к устойчивости ЮMoney; меняем предложение: гарантии непрерывности (эскроу исходного кода), скидка за срок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Риск или неопределённость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Неопределённость: числа клиентов ЮSoft и их оборота нет в открытых данных; нужен разговор с каждым клиентом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Что нужно для проверки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Список клиентов с договорами; дорожная карта, согласованная с руководителем ЮSoft; шаблон годового договора; коммерческий руководитель и юрист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Допущения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4–5 договоров × 20–40 млн ₽ в год после скидки (А20); этап 1 интерфейса выходит в срок</w:t>
            </w:r>
          </w:p>
        </w:tc>
      </w:tr>
    </w:tbl>
    <w:bookmarkEnd w:id="25"/>
    <w:bookmarkStart w:id="26" w:name="Xb4804087d8421f3a513742b045428eb01318e23"/>
    <w:p>
      <w:pPr>
        <w:pStyle w:val="Heading3"/>
      </w:pPr>
      <w:r>
        <w:t xml:space="preserve">Г4. Клуб ЮMoney удерживает активными на 5 п.п. больше клиентов, чем контрольная группа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Формулировка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Если 20 000 клиентов кошелька, запросивших выгрузку или попавших в зону риска ухода, пригласить в «Клуб ЮMoney» (статус, кешбэк до 3% в трёх категориях, индивидуальный тариф на переводы — привилегии не переносятся вместе с данными), а ещё 20 000 таких же оставить контролем, то через 90 дней активными останется на 5 п.п. больше, потому что привилегии нельзя забрать выгрузкой, а банкам маркетплейсов нечем их мгновенно повторить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Строка P&amp;L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Выручка: переводы и платежи физлиц (≈ 10% выручки)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Показатель и текущее значение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Доля клиентов с операцией хотя бы раз за 30 дней, через 90 дней после приглашения: клуб против контроля. Сейчас: допущение — 30% клиентов с операцией за 30 дней; активная база не раскрыта (А6), контроля нет. Порог задан разницей, поэтому уровень 30% на проверку не влияет (А25)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Порог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Разница не меньше 5 п.п. в пользу клуба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Срок проверки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90 дней после запуска пилота (пилот — после этапа 2 интерфейса)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Опровергающее наблюдение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Разница меньше 2 п.п. Значит, привилегии не удерживают, а решают цена и удобство конкурента; клуб закрываем и не тратим остальные человеко-месяцы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Риск или неопределённость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Неопределённость: поведение клиентов при мгновенных предложениях банков маркетплейсов неизвестно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Что нужно для проверки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Две выборки по 20 000 клиентов, разделённые по жребию; расчёт стоимости привилегий; юридическая проверка правил клуба (ограничиваем привилегии, а не выдачу данных); 6 чел.-мес.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Допущения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Физлица ≈ 10% выручки, клуб поднимает их выручку на 5–10% уже после затрат на привилегии (А21); размер пилота — наш выбор (А25)</w:t>
            </w:r>
          </w:p>
        </w:tc>
      </w:tr>
    </w:tbl>
    <w:bookmarkEnd w:id="26"/>
    <w:bookmarkStart w:id="27" w:name="Xaa2a071ea3c3a977d17c95f970c48a07ee9efdc"/>
    <w:p>
      <w:pPr>
        <w:pStyle w:val="Heading3"/>
      </w:pPr>
      <w:r>
        <w:t xml:space="preserve">Г5. Предложения клиентам других банков по их данным дают 1 000–2 000 новых клиентов за 90 дней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Формулировка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Если с согласия клиентов запросить их данные у других участников рынка (право по лебедю 48) и отправить 50 000 таким клиентам персональное предложение карты и ЮBusiness, то 2–4% (1 000–2 000 человек) станут клиентами, потому что по оборотам клиента мы сделаем предложение точнее, чем рекламу «для всех»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Строка P&amp;L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Выручка: комиссии и обслуживание по картам и ЮBusiness новых клиентов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Показатель и текущее значение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Число новых клиентов за 90 дней и годовой доход на клиента. Сейчас: 0, данных других банков нет; право запроса действует вместе с вступлением правил (А16)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Порог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Не менее 1 000 новых клиентов из 50 000 предложений (конверсия от 2%) и доход не меньше 40 тыс. ₽ в год на клиента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Срок проверки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90 дней после первых запросов; старт — после запуска интерфейса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Опровергающее наблюдение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Конверсия ниже 1% или доход на клиента ниже 20 тыс. ₽ в год. Значит, данные не дают преимущества над обычной рекламой; гипотезу снимаем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Риск или неопределённость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Неопределённость: готовность других банков отвечать на запросы и доля клиентов, согласных на передачу данных, неизвестны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Что нужно для проверки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Работающий интерфейс; согласия клиентов; юридическая проверка права запроса; 5 чел.-мес. на движок предложений и воронку ЮBusiness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Допущения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50 000 предложений × 2–4% × 40–60 тыс. ₽ в год = 40–120 млн ₽ (А24); размер пилота — наш выбор (А25)</w:t>
            </w:r>
          </w:p>
        </w:tc>
      </w:tr>
    </w:tbl>
    <w:bookmarkEnd w:id="27"/>
    <w:bookmarkEnd w:id="28"/>
    <w:bookmarkStart w:id="29" w:name="привязка-к-pl"/>
    <w:p>
      <w:pPr>
        <w:pStyle w:val="Heading2"/>
      </w:pPr>
      <w:r>
        <w:t xml:space="preserve">Привязка к P&amp;L</w:t>
      </w:r>
    </w:p>
    <w:p>
      <w:pPr>
        <w:pStyle w:val="FirstParagraph"/>
      </w:pPr>
      <w:r>
        <w:t xml:space="preserve">Эффект считается в рублях и переводится в проценты выручки 2025 года (27,55 млрд ₽, 1% ≈ 276 млн ₽) — это база коридора. Рублёвые оценки взяты от выручки после лебедя 67 (18,4 млрд ₽, А14), поэтому проценты ниже, чем были бы от 18,4 млрд ₽ (Г1 там — 0,89–2,66%); сравнение идёт по базе коридора. Рост оборота магазинов ЮKassa на 26% в 2025 году в эффект не входит.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Гипотеза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Строка P&amp;L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Эффект, млн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% выручки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Коридор 0,3–1,5%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Откуда оценка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Г1 Топ-30 магазинов остаются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Выручка: комиссии ЮKassa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163–490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0,59–1,78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в коридоре до 1,5%; верхняя часть выше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16,3 млрд ₽ × 1–3% комиссий (А15, А22); сохранённая, не новая выручка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Г2 ИИ-инструменты в разработке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Выручка: ранний старт Г3–Г5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15,6–81,6 (после лицензий)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0,06–0,30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ниже или на нижней границе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Годовая выручка Г3–Г5 = 212–504 млн ₽, в месяц 18–42 млн ₽; × 1–2 месяца = 18–84 млн ₽, минус лицензии 2,4 млн ₽ (А17, А26)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Г3 ЮSoft: три даты и предоплата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Выручка: ЮSoft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80–200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0,29–0,73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в коридоре (нижняя граница — на пределе)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4–5 договоров × 20–40 млн ₽ (А20)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Г4 Клуб ЮMoney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Выручка: переводы и платежи физлиц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92–184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0,33–0,67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в коридоре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10% выручки (1,84 млрд ₽) × 5–10% (А21)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Г5 Предложения клиентам других банков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Выручка: карты и ЮBusiness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40–120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0,15–0,44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частично ниже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1 000–2 000 клиентов × 40–60 тыс. ₽ в год (А24)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Итого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391–1 076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1,42–3,90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в коридоре набора из пяти (1–4%)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сумма строк, без учёта пересечений</w:t>
            </w:r>
          </w:p>
        </w:tc>
      </w:tr>
    </w:tbl>
    <w:p>
      <w:pPr>
        <w:pStyle w:val="BodyText"/>
      </w:pPr>
      <w:r>
        <w:rPr>
          <w:bCs/>
          <w:b/>
        </w:rPr>
        <w:t xml:space="preserve">Г1 и верхняя граница коридора.</w:t>
      </w:r>
      <w:r>
        <w:t xml:space="preserve"> </w:t>
      </w:r>
      <w:r>
        <w:t xml:space="preserve">Верхняя часть оценки Г1 (1,5–1,78%) выше коридора и требует объяснения. Причина — концентрация: ≈ 89% комиссии даёт один сегмент (А1), и потеря 3% комиссий ЮKassa — это уже 490 млн ₽, тогда как у типичного улучшения одного продукта база меньше. Это не прирост, а непотерянная выручка: сценарий 48 предусматривает уход магазинов к банкам маркетплейсов, платежи через которые удвоились (9,8 против 4,8 трлн ₽ за 2025 год). Середина оценки — 1,18% — внутри коридора, и приоритет считается по ней.</w:t>
      </w:r>
    </w:p>
    <w:p>
      <w:pPr>
        <w:pStyle w:val="BodyText"/>
      </w:pPr>
      <w:r>
        <w:rPr>
          <w:bCs/>
          <w:b/>
        </w:rPr>
        <w:t xml:space="preserve">Г2 и Г5 ниже коридора: окупаемость.</w:t>
      </w:r>
      <w:r>
        <w:t xml:space="preserve"> </w:t>
      </w:r>
      <w:r>
        <w:t xml:space="preserve">Г2 (0,06–0,30%) — ускоритель, а не источник денег. Затраты: 2 чел.-мес. × 0,29 млн ₽ + лицензии 2,4 млн ₽ ≈ 3,0 млн ₽ (А26, А27) против 18–84 млн ₽ эффекта — окупается в 6–28 раз, но только если Г3–Г5 запускаются. Для сравнения: по материалам коридора эффект ИИ у ВТБ — около 1,3% операционного дохода; наша оценка скромнее, потому что считает только сдвиг запуска, а не экономию на всём ИТ. Г5 (0,15–0,44%) частично ниже коридора, но открывает канал привлечения клиентов других банков через интерфейс, который строится в любом случае. Затраты 5 чел.-мес. × 0,29 ≈ 1,5 млн ₽ окупаются при 75 новых клиентах (1,5 млн ₽ / 20 тыс. ₽), то есть при конверсии 0,15% — в 7 раз ниже порога отказа (1%). Стоимость рассылки 50 000 предложений не оценена — это открытый вопрос (А24).</w:t>
      </w:r>
    </w:p>
    <w:p>
      <w:pPr>
        <w:pStyle w:val="BodyText"/>
      </w:pPr>
      <w:r>
        <w:rPr>
          <w:bCs/>
          <w:b/>
        </w:rPr>
        <w:t xml:space="preserve">Набор из пяти.</w:t>
      </w:r>
      <w:r>
        <w:t xml:space="preserve"> </w:t>
      </w:r>
      <w:r>
        <w:t xml:space="preserve">Сумма 391–1 076 млн ₽ — 1,42–3,90% выручки, то есть внутри коридора набора (1–4%), но у верхней границы. Сумма завышена: Г3 и Г5 могут продаваться одним и тем же клиентам, а Г1 — непотерянная часть уже имеющейся выручки. Гипотез на экономию нет: задание касается только выручки. Доступность как отдельная гипотеза не берётся: +0,05 п.п. доступности дают +0,05% выручки, это ниже коридора; значимый эффект даёт доля успешных оплат (ориентир 85–92% для e-commerce по материалам коридора, зарубежный), и она ждёт в резерве идей.</w:t>
      </w:r>
    </w:p>
    <w:bookmarkEnd w:id="29"/>
    <w:bookmarkStart w:id="30" w:name="приоритизация"/>
    <w:p>
      <w:pPr>
        <w:pStyle w:val="Heading2"/>
      </w:pPr>
      <w:r>
        <w:t xml:space="preserve">Приоритизация</w:t>
      </w:r>
    </w:p>
    <w:p>
      <w:pPr>
        <w:pStyle w:val="FirstParagraph"/>
      </w:pPr>
      <w:r>
        <w:t xml:space="preserve">Пять гипотез сравниваются одной формулой: приоритет P — это ожидаемый эффект на человеко-месяц работы с поправкой на уверенность в данных. Эффект взят из таблицы «Привязка к P&amp;L» (проценты от 27,55 млрд ₽), уверенность и трудозатраты — из правил ниже.</w:t>
      </w:r>
    </w:p>
    <w:p>
      <w:pPr>
        <w:pStyle w:val="SourceCode"/>
      </w:pPr>
      <w:r>
        <w:rPr>
          <w:rStyle w:val="NormalTok"/>
        </w:rPr>
        <w:t xml:space="preserve">P = </w:t>
      </w:r>
      <w:r>
        <w:rPr>
          <w:rStyle w:val="FunctionTok"/>
        </w:rPr>
        <w:t xml:space="preserve">\frac</w:t>
      </w:r>
      <w:r>
        <w:rPr>
          <w:rStyle w:val="NormalTok"/>
        </w:rPr>
        <w:t xml:space="preserve">{E </w:t>
      </w:r>
      <w:r>
        <w:rPr>
          <w:rStyle w:val="FunctionTok"/>
        </w:rPr>
        <w:t xml:space="preserve">\cdot</w:t>
      </w:r>
      <w:r>
        <w:rPr>
          <w:rStyle w:val="NormalTok"/>
        </w:rPr>
        <w:t xml:space="preserve"> C}{T}</w:t>
      </w:r>
    </w:p>
    <w:p>
      <w:pPr>
        <w:pStyle w:val="FirstParagraph"/>
      </w:pPr>
      <w:r>
        <w:t xml:space="preserve">E — середина диапазона эффекта, % выручки 2025 года; C — уверенность по шкале ПР1; T — трудозатраты в человеко-месяцах, выведенные из состава работ (21 рабочий день в месяце). Правило для C: 0,5, если основа эффекта измерена в отчётности или журналах компании, а механизм задан сценарием вводных; 0,3, если и основа, и механизм — допущения без внутренних замеров. У Г1 основа (комиссии ЮKassa) — в РСБУ, механизм — уход магазинов по сценарию 48, поэтому 0,5. У Г2 основа — выручка Г3–Г5, то есть тоже допущение, поэтому 0,3; так же 0,3 у Г3–Г5 (А20, А21, А24).</w:t>
      </w:r>
    </w:p>
    <w:p>
      <w:pPr>
        <w:pStyle w:val="BodyText"/>
      </w:pPr>
      <w:r>
        <w:rPr>
          <w:bCs/>
          <w:b/>
        </w:rPr>
        <w:t xml:space="preserve">Трудозатраты T из состава работ</w:t>
      </w:r>
      <w:r>
        <w:t xml:space="preserve"> </w:t>
      </w:r>
      <w:r>
        <w:t xml:space="preserve">(оценка команд, А18; число задач × чел.-дн на задачу):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Гипотеза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Состав работ, чел.-дн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Итого, чел.-дн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 = дн / 21, чел.-мес.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Г1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30 магазинов × 2 (выдача данных и проверка юристом) + 3 (письмо ЦБ, фиксация комиссии)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Г2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12 (настройка инструментов и правил ревью) + 20 разработчиков × 0,5 (обучение) + 10 задач × 1 (дополнительный замер) + 10 (пересчёт плана)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Г3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10 задач × 4 (стабильное API v2) + 12 (план поддержки) + 5 клиентов × 4 (переговоры и договоры) + 12 (схема предоплаты, юрист)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Г4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12 задач × 5 (статусы и привилегии) + 3 категории × 10 (кэшбек) + 20 (индивидуальный тариф) + 2 выборки × 8 (пилот, аналитика)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6,0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Г5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14 задач × 3 (движок предложений) + 8 задач × 4 (воронка ЮBusiness) + 15 (согласия, юридическая проверка) + 16 (аналитика конверсии)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5,0</w:t>
            </w:r>
          </w:p>
        </w:tc>
      </w:tr>
    </w:tbl>
    <w:p>
      <w:pPr>
        <w:pStyle w:val="BodyText"/>
      </w:pPr>
      <w:r>
        <w:rPr>
          <w:bCs/>
          <w:b/>
        </w:rPr>
        <w:t xml:space="preserve">Расчёт приоритета: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Гипотеза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E, % выручки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T, чел.-мес.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Расчёт E · C / 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Ранг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Г1 Топ-30 магазинов остаются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1,18 (середина 0,59–1,78)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0,5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1,18 × 0,5 /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0,197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Г3 ЮSoft: три даты и предоплата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0,51 (середина 0,29–0,73)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0,3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0,51 × 0,3 /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0,038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Г2 ИИ-инструменты в разработке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0,18 (середина 0,06–0,30)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0,3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0,18 × 0,3 /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0,027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Г4 Клуб ЮMoney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0,50 (середина 0,33–0,67)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0,3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0,50 × 0,3 / 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0,025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Г5 Предложения клиентам других банков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0,29 (середина 0,15–0,44)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0,3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0,29 × 0,3 /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0,017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</w:t>
            </w:r>
          </w:p>
        </w:tc>
      </w:tr>
    </w:tbl>
    <w:p>
      <w:pPr>
        <w:pStyle w:val="BodyText"/>
      </w:pPr>
      <w:r>
        <w:t xml:space="preserve">Ранг Г1 устойчив: 0,197 против 0,038 у Г3 — в 5,2 раза выше. При нижней границе эффекта (0,59%) P = 0,59 × 0,5 / 3 = 0,098 — всё равно в 2,6 раза выше Г3. Чтобы Г1 потеряла первое место, эффект должен упасть ниже 0,23% выручки (0,038 × 3 / 0,5), то есть магазины должны уходить почти без последствий.</w:t>
      </w:r>
    </w:p>
    <w:p>
      <w:pPr>
        <w:pStyle w:val="BodyText"/>
      </w:pPr>
      <w:r>
        <w:t xml:space="preserve">Г2 и Г4 почти равны (0,027 и 0,025), поэтому решение взять Г2 в работу опирается не только на ранг: она в 3 раза дешевле Г4 (2 против 6 чел.-мес.), ускоряет Г3–Г5 и проверяется за 6 недель. Денег сама по себе она не приносит: её эффект есть, только если Г3–Г5 вообще запускаются. Если бы уверенность Г2 была 0,5, P = 0,18 × 0,5 / 2 = 0,045 и она стала бы второй — решение о запуске не меняется.</w:t>
      </w:r>
    </w:p>
    <w:p>
      <w:pPr>
        <w:pStyle w:val="BodyText"/>
      </w:pPr>
      <w:r>
        <w:rPr>
          <w:bCs/>
          <w:b/>
        </w:rPr>
        <w:t xml:space="preserve">Ограничение по людям.</w:t>
      </w:r>
      <w:r>
        <w:t xml:space="preserve"> </w:t>
      </w:r>
      <w:r>
        <w:t xml:space="preserve">Платёжное ядро в расчёт не входит: его людей нельзя снимать с предписания ЦБ. Команда восстановления — 6 человек по 70% времени, то есть 4,2 чел.-мес. в месяц, в «Шраме» — 2,1 (А19). Интерфейс для ЦБ (≈10 чел.-мес., А18) — обязательный проект по предписанию, а не гипотеза: в рейтинге он не участвует, его делает платёжное ядро, но без стадии 1 нет даты для Г3.</w:t>
      </w:r>
    </w:p>
    <w:bookmarkEnd w:id="30"/>
    <w:bookmarkStart w:id="31" w:name="в-работу-и-в-резерв"/>
    <w:p>
      <w:pPr>
        <w:pStyle w:val="Heading2"/>
      </w:pPr>
      <w:r>
        <w:t xml:space="preserve">В работу и в резерв</w:t>
      </w:r>
    </w:p>
    <w:p>
      <w:pPr>
        <w:pStyle w:val="FirstParagraph"/>
      </w:pPr>
      <w:r>
        <w:t xml:space="preserve">В ПР3 берём три гипотезы — Г1, Г2 и Г3: они занимают первые три строки рейтинга с учётом зависимости (Г2 даёт деньги только через Г3–Г5), и все три помещаются в ёмкость «Шрама». Г4 и Г5 уходят в резерв с явным условием запуска.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Гипотеза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Решение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Готовность в «Шраме», мес.: без ИИ → с 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Готовность в базе, мес.: без ИИ → с 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Условие и причина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Г1 Топ-30 магазинов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В работу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 →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 →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Ранг 1; делают поддержка и юристы, ИИ не ускоряет — это коммерческий процесс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Г2 ИИ-инструменты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В работу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— →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— →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Ранг 3 (почти равен Г4), но в 3 раза дешевле и ускоряет остальные; её эффект — сдвиг Г3–Г5 на 1–2 месяца; в платёжное ядро — только через усиленное ревью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Г3 ЮSoft: три даты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В работу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 →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 →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Ранг 2; срок задан стадией 1 интерфейса, а не трудозатратами; клиенты ждут даты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Г4 Клуб ЮMoney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Резерв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7 → 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 →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Пилот после стадии 2 интерфейса, если Г1–Г3 дали первые результаты; P = 0,025, дорогая (6 чел.-мес.)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Г5 Предложения клиентам других банков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Резерв до запуска интерфейса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9 → 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 →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Нужны данные других банков через интерфейс; P = 0,017, низкая уверенность (0,3)</w:t>
            </w:r>
          </w:p>
        </w:tc>
      </w:tr>
    </w:tbl>
    <w:p>
      <w:pPr>
        <w:pStyle w:val="BodyText"/>
      </w:pPr>
      <w:r>
        <w:t xml:space="preserve">Проверка ёмкости: Г2 и Г3 вместе — 6 чел.-мес., при 2,1 чел.-мес. в месяц это порядка 2,9 месяца работы; с учётом месяца на запуск получаем готовность на 3-м и 4-м месяце. Г1 ёмкость команды восстановления не занимает: её делают поддержка и юристы (А22).</w:t>
      </w:r>
    </w:p>
    <w:p>
      <w:pPr>
        <w:pStyle w:val="BodyText"/>
      </w:pPr>
      <w:r>
        <w:rPr>
          <w:bCs/>
          <w:b/>
        </w:rPr>
        <w:t xml:space="preserve">Ответ собственникам: что выпустит оставшаяся команда и когда.</w:t>
      </w:r>
      <w:r>
        <w:t xml:space="preserve"> </w:t>
      </w:r>
      <w:r>
        <w:t xml:space="preserve">В «Шраме» по порядку: Г1 — на 2-м месяце, Г2 — на 3-м, Г3 — на 4-м, Г4 — на 6-м, Г5 — на 8-м. ИИ-инструменты дают около месяца на продуктах Г4–Г5. В базовом сценарии всё проходит вдвое быстрее: Г4 — на 3-м месяце, Г5 — на 4-м. Сроки показывают готовность продукта, а не полученные деньги: доход придёт после проверки порога.</w:t>
      </w:r>
    </w:p>
    <w:p>
      <w:pPr>
        <w:pStyle w:val="BodyText"/>
      </w:pPr>
      <w:r>
        <w:rPr>
          <w:bCs/>
          <w:b/>
        </w:rPr>
        <w:t xml:space="preserve">Что не делаем и почему</w:t>
      </w:r>
    </w:p>
    <w:p>
      <w:pPr>
        <w:numPr>
          <w:ilvl w:val="0"/>
          <w:numId w:val="1001"/>
        </w:numPr>
        <w:pStyle w:val="Compact"/>
      </w:pPr>
      <w:r>
        <w:t xml:space="preserve">Не поднимаем комиссию ЮKassa: при угрозе ухода магазинов это ускорит отток, а Г1 проверяет именно удержание на прежних условиях.</w:t>
      </w:r>
    </w:p>
    <w:p>
      <w:pPr>
        <w:numPr>
          <w:ilvl w:val="0"/>
          <w:numId w:val="1001"/>
        </w:numPr>
        <w:pStyle w:val="Compact"/>
      </w:pPr>
      <w:r>
        <w:t xml:space="preserve">Не записываем «купить готовый продукт» как отдельную гипотезу: покупка остаётся инструментом внутри Г3 и Г5, как покупка NeXT в истории Apple 1997 года.</w:t>
      </w:r>
    </w:p>
    <w:p>
      <w:pPr>
        <w:numPr>
          <w:ilvl w:val="0"/>
          <w:numId w:val="1001"/>
        </w:numPr>
        <w:pStyle w:val="Compact"/>
      </w:pPr>
      <w:r>
        <w:t xml:space="preserve">MCP-сервер и СБП-планшеты стоят в резерве идей без карточки: у них нет измеримого порога и срока.</w:t>
      </w:r>
    </w:p>
    <w:p>
      <w:pPr>
        <w:numPr>
          <w:ilvl w:val="0"/>
          <w:numId w:val="1001"/>
        </w:numPr>
        <w:pStyle w:val="Compact"/>
      </w:pPr>
      <w:r>
        <w:t xml:space="preserve">Не скрываем срыв срока от ЦБ и кредиторов: ответ — письмо с новыми датами, оно уже входит в Г1.</w:t>
      </w:r>
    </w:p>
    <w:bookmarkEnd w:id="31"/>
    <w:bookmarkStart w:id="46" w:name="реестр-допущений-и-источники"/>
    <w:p>
      <w:pPr>
        <w:pStyle w:val="Heading2"/>
      </w:pPr>
      <w:r>
        <w:t xml:space="preserve">Реестр допущений и источники</w:t>
      </w:r>
    </w:p>
    <w:p>
      <w:pPr>
        <w:pStyle w:val="FirstParagraph"/>
      </w:pPr>
      <w:r>
        <w:t xml:space="preserve">Реестр пополнен тринадцатью строками А15–А27; все они — допущения с низкой уверенностью, кроме коридора (А23) и расчёта выборок (А25). Строки А1–А14 остаются как в ПР1 (ПР1 — Бизнес и его ИТ: ЮMoney); здесь использованы А1, А2, А6, А9 и А14.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Цифра или утверждение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Откуда оценка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Уверенность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Как проверить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А15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ЮKassa ≈ 89% выручки, то есть ≈ 16,3 млрд ₽ в год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18,4 × 0,89; доля А1 взята по трём статьям комиссии (РСБУ, I полугодие 2024), не по всей выручке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годовая РСБУ, интервью с финансами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А16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Новый срок предписания ЦБ Т ≈ 6 месяцев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расчёт правдоподобия: интерфейс ≈ 10 чел.-мес. за 6 мес. — в среднем 1,7 человека одновременно; в ПР1 для лебедя 48 исходно было 15 месяцев; новый срок в вводных не назван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текст предписания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А17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ИИ-инструменты сокращают трудозатраты на задачи продуктов на 20–35%; месяцы выручки Г3–Г5 сдвигаются на 1–2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аналоги: Google, 96 инженеров, −21% времени (значимость p = 0,086); GitHub Copilot, −55,8% на учебной задаче; METR, +19% времени у опытных разработчиков. Диапазон 20–35% лежит между Google и Copilot, без верхней оценки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замер на 10 типовых задачах за 6 недель (карточка Г2)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А18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Трудозатраты, чел.-мес.: Г1 — 3, Г2 — 2, Г3 — 4, Г4 — 6, Г5 — 5; интерфейс для ЦБ ≈ 10 (вне рейтинга)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расчёт: число задач × чел.-дн (таблица в разделе «Приоритизация»): 63, 42, 84, 126 и 105 чел.-дн при 21 рабочем дне в месяце; число задач — оценка команд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оценка команд, план этапов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А19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Команда восстановления 6 человек, 70% времени на продукты: 4,2 чел.-мес. в месяц; в «Шраме» — 2,1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антикризисный план (Антикризисный план ЮMoney: лебеди 48 и 67): 5–7 человек, взяты 6; 70% = 100% минус 30% на поддержку интерфейса и текущие обращения (допущение); «Шрам» снижает её вдвое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реальный состав и загрузка команды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А20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 клиентов ЮSoft (4 требуют сроков) × 20–40 млн ₽ в год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выручка ЮSoft не раскрыта (А9; запуск 25.09.2025); калибровка: 5 клиентов дают 100–200 млн ₽, то есть 0,4–0,7% выручки 2025 — внутри коридора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договоры ЮSoft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А21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Физлица ≈ 10% выручки; клуб улучшает их выручку на 5–10%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6% + 4% из А1; эффект: коридор 0,3–1,5% при доле 10% требует роста их выручки на 3–15%, взято 5–10% внутри этого диапазона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РСБУ, пилот клуба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А22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Без вмешательства уходит 1–3% комиссий ЮKassa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сценарий 48, масштаб не назван; 1% = 163 млн ₽; аналог: в 2022 году после санкций комиссионные доходы пали на 22,5% (ПР1, источник 8), верхняя граница 3% — менее седьмой части того падения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журнал запросов, данные оборота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А23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Коридор ЮMoney: одно улучшение 0,3–1,5% выручки, набор из пяти 1–4%, база 27,55 млрд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коридор, выданный по заданию; рост рынка +9% (ПР1, источник 4) используется только для разрыва с ориентиром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при смене базы пересчитать проценты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А24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Предложение клиенту другого банка конвертируется в 2–4%; клиент приносит 40–60 тыс. ₽ в год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аналога в открытых данных не найдено; калибровка по порогу отказа: при конверсии 1% и 20 тыс. ₽ эффект падает до 10 млн ₽ (0,04% выручки), и Г5 снимается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пилот на 50 000 предложений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А25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Размеры пилотов: Г1 — 30 магазинов, Г3 — 5 клиентов ЮSoft, Г4 — 2 × 20 000 клиентов, Г5 — 50 000 предложений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расчёт для Г4: чтобы отличить разницу 5 п.п. при доле 30% (мощность 80%, уровень 5%), нужно ≈ 1 300 клиентов в группе; 20 000 хватает и для порога отказа 2 п.п. (минимально различимая разница ≈ 1,3 п.п.). Г1 и Г3 — вся совокупность, выборки нет. Г5: стандартная ошибка конверсии ≈ 0,04 п.п. при 1%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пересчитать по реальной базе клиентов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А26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Лицензии ИИ-инструментов: 20 мест × 10 тыс. ₽ в месяц = 2,4 млн ₽ в год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ориентир цены, у поставщика не проверен; число мест — разработчики команд восстановления и интерфейса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коммерческое предложение поставщика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А27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Стоимость человеко-месяца ≈ 0,29 млн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3,5 млн ₽ в год на сотрудника / 12; ориентир ставки, не данные HR ЮMoney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данные HR и бухгалтерии</w:t>
            </w:r>
          </w:p>
        </w:tc>
      </w:tr>
    </w:tbl>
    <w:p>
      <w:pPr>
        <w:pStyle w:val="BodyText"/>
      </w:pPr>
      <w:r>
        <w:rPr>
          <w:bCs/>
          <w:b/>
        </w:rPr>
        <w:t xml:space="preserve">Источники.</w:t>
      </w:r>
      <w:r>
        <w:t xml:space="preserve"> </w:t>
      </w:r>
      <w:r>
        <w:t xml:space="preserve">Страницы Oborot.ru, Банка России, Интерфакса и arXiv открывались 21.10.2026. Страницы «Финансист» и Gr4vy, а также цифры ЮMoney по QR и SberPay и оценку «≈ 1,3% операционного дохода ВТБ» я взял из материалов коридора, на самих страницах эти цифры не проверялись; в статье Интерфакса о ВТБ доли 1,3% нет, есть оценка эффекта в 15 млрд ₽ (13.11.2025).</w:t>
      </w:r>
    </w:p>
    <w:p>
      <w:pPr>
        <w:numPr>
          <w:ilvl w:val="0"/>
          <w:numId w:val="1002"/>
        </w:numPr>
        <w:pStyle w:val="Compact"/>
      </w:pPr>
      <w:r>
        <w:t xml:space="preserve">ПР1 — Бизнес и его ИТ: ЮMoney — выручка, зоны, реестр А1–А14; источники ПР1 (страницы открывались 21.09.2026):</w:t>
      </w:r>
      <w:r>
        <w:t xml:space="preserve"> </w:t>
      </w:r>
      <w:hyperlink r:id="rId32">
        <w:r>
          <w:rPr>
            <w:rStyle w:val="Hyperlink"/>
          </w:rPr>
          <w:t xml:space="preserve">1. Smart Ranking, выручка финтеха за 2025 год</w:t>
        </w:r>
      </w:hyperlink>
      <w:r>
        <w:t xml:space="preserve">;</w:t>
      </w:r>
      <w:r>
        <w:t xml:space="preserve"> </w:t>
      </w:r>
      <w:hyperlink r:id="rId33">
        <w:r>
          <w:rPr>
            <w:rStyle w:val="Hyperlink"/>
          </w:rPr>
          <w:t xml:space="preserve">4. Коммерсантъ, финтех в I полугодии 2026</w:t>
        </w:r>
      </w:hyperlink>
      <w:r>
        <w:t xml:space="preserve">;</w:t>
      </w:r>
      <w:r>
        <w:t xml:space="preserve"> </w:t>
      </w:r>
      <w:hyperlink r:id="rId34">
        <w:r>
          <w:rPr>
            <w:rStyle w:val="Hyperlink"/>
          </w:rPr>
          <w:t xml:space="preserve">6. Интерфакс, РСБУ за 2023 год</w:t>
        </w:r>
      </w:hyperlink>
      <w:r>
        <w:t xml:space="preserve">;</w:t>
      </w:r>
      <w:r>
        <w:t xml:space="preserve"> </w:t>
      </w:r>
      <w:hyperlink r:id="rId35">
        <w:r>
          <w:rPr>
            <w:rStyle w:val="Hyperlink"/>
          </w:rPr>
          <w:t xml:space="preserve">7. Интерфакс, РСБУ за I полугодие 2024</w:t>
        </w:r>
      </w:hyperlink>
      <w:r>
        <w:t xml:space="preserve">;</w:t>
      </w:r>
      <w:r>
        <w:t xml:space="preserve"> </w:t>
      </w:r>
      <w:hyperlink r:id="rId36">
        <w:r>
          <w:rPr>
            <w:rStyle w:val="Hyperlink"/>
          </w:rPr>
          <w:t xml:space="preserve">23. CNews, запуск ЮSoft</w:t>
        </w:r>
      </w:hyperlink>
      <w:r>
        <w:t xml:space="preserve">;</w:t>
      </w:r>
      <w:r>
        <w:t xml:space="preserve"> </w:t>
      </w:r>
      <w:hyperlink r:id="rId37">
        <w:r>
          <w:rPr>
            <w:rStyle w:val="Hyperlink"/>
          </w:rPr>
          <w:t xml:space="preserve">27. Хабр, банки маркетплейсов и рынок электронных денег</w:t>
        </w:r>
      </w:hyperlink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Антикризисный план ЮMoney: лебеди 48 и 67 — шаги по лебедям 48 и 67, команда восстановления, дорожная карта.</w:t>
      </w:r>
    </w:p>
    <w:p>
      <w:pPr>
        <w:numPr>
          <w:ilvl w:val="0"/>
          <w:numId w:val="1002"/>
        </w:numPr>
        <w:pStyle w:val="Compact"/>
      </w:pPr>
      <w:r>
        <w:t xml:space="preserve">Коридор ЮMoney (выдан по заданию) и его источники:</w:t>
      </w:r>
      <w:r>
        <w:t xml:space="preserve"> </w:t>
      </w:r>
      <w:hyperlink r:id="rId38">
        <w:r>
          <w:rPr>
            <w:rStyle w:val="Hyperlink"/>
          </w:rPr>
          <w:t xml:space="preserve">Oborot.ru, интернет-эквайринг +24% в 2024, прогноз ETNA +15% на 2025</w:t>
        </w:r>
      </w:hyperlink>
      <w:r>
        <w:t xml:space="preserve">;</w:t>
      </w:r>
      <w:r>
        <w:t xml:space="preserve"> </w:t>
      </w:r>
      <w:hyperlink r:id="rId39">
        <w:r>
          <w:rPr>
            <w:rStyle w:val="Hyperlink"/>
          </w:rPr>
          <w:t xml:space="preserve">Банк России, альтернативные способы оплаты 14,1% в IV квартале 2025</w:t>
        </w:r>
      </w:hyperlink>
      <w:r>
        <w:t xml:space="preserve">;</w:t>
      </w:r>
      <w:r>
        <w:t xml:space="preserve"> </w:t>
      </w:r>
      <w:hyperlink r:id="rId40">
        <w:r>
          <w:rPr>
            <w:rStyle w:val="Hyperlink"/>
          </w:rPr>
          <w:t xml:space="preserve">Финансист, платежи через банки маркетплейсов 9,8 трлн ₽ в 2025</w:t>
        </w:r>
      </w:hyperlink>
      <w:r>
        <w:t xml:space="preserve">;</w:t>
      </w:r>
      <w:r>
        <w:t xml:space="preserve"> </w:t>
      </w:r>
      <w:hyperlink r:id="rId41">
        <w:r>
          <w:rPr>
            <w:rStyle w:val="Hyperlink"/>
          </w:rPr>
          <w:t xml:space="preserve">Gr4vy, ориентиры доли одобренных платежей</w:t>
        </w:r>
      </w:hyperlink>
      <w:r>
        <w:t xml:space="preserve">;</w:t>
      </w:r>
      <w:r>
        <w:t xml:space="preserve"> </w:t>
      </w:r>
      <w:hyperlink r:id="rId42">
        <w:r>
          <w:rPr>
            <w:rStyle w:val="Hyperlink"/>
          </w:rPr>
          <w:t xml:space="preserve">Интерфакс, эффект ИИ у ВТБ</w:t>
        </w:r>
      </w:hyperlink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Эффект ИИ-ассистентов на время работы:</w:t>
      </w:r>
      <w:r>
        <w:t xml:space="preserve"> </w:t>
      </w:r>
      <w:hyperlink r:id="rId43">
        <w:r>
          <w:rPr>
            <w:rStyle w:val="Hyperlink"/>
          </w:rPr>
          <w:t xml:space="preserve">Google, рандомизированный эксперимент, 96 инженеров, −21%</w:t>
        </w:r>
      </w:hyperlink>
      <w:r>
        <w:t xml:space="preserve">;</w:t>
      </w:r>
      <w:r>
        <w:t xml:space="preserve"> </w:t>
      </w:r>
      <w:hyperlink r:id="rId44">
        <w:r>
          <w:rPr>
            <w:rStyle w:val="Hyperlink"/>
          </w:rPr>
          <w:t xml:space="preserve">GitHub Copilot, −55,8% на учебной задаче</w:t>
        </w:r>
      </w:hyperlink>
      <w:r>
        <w:t xml:space="preserve">;</w:t>
      </w:r>
      <w:r>
        <w:t xml:space="preserve"> </w:t>
      </w:r>
      <w:hyperlink r:id="rId45">
        <w:r>
          <w:rPr>
            <w:rStyle w:val="Hyperlink"/>
          </w:rPr>
          <w:t xml:space="preserve">METR, +19% времени у опытных разработчиков</w:t>
        </w:r>
      </w:hyperlink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Задание ПР2: долги к ПР2, долги к следующим лебедям, эффект «Шрам»; различение риска и неопределённости по F. Knight, 1921.</w:t>
      </w:r>
    </w:p>
    <w:bookmarkEnd w:id="46"/>
    <w:bookmarkEnd w:id="47"/>
    <w:sectPr>
      <w:pgSz w:w="16838" w:h="11906" w:orient="landscape"/>
      <w:pgMar w:left="1020" w:right="1020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4" Type="http://schemas.openxmlformats.org/officeDocument/2006/relationships/hyperlink" Target="https://arxiv.org/abs/2302.06590" TargetMode="External"/><Relationship Id="rId43" Type="http://schemas.openxmlformats.org/officeDocument/2006/relationships/hyperlink" Target="https://arxiv.org/abs/2410.12944" TargetMode="External"/><Relationship Id="rId45" Type="http://schemas.openxmlformats.org/officeDocument/2006/relationships/hyperlink" Target="https://arxiv.org/abs/2507.09089" TargetMode="External"/><Relationship Id="rId40" Type="http://schemas.openxmlformats.org/officeDocument/2006/relationships/hyperlink" Target="https://finansist-kras.ru/news/banks/obem-platezhey-cherez-banki-marketpleysov-v-2025-godu-vyros-do-9-8-trln-rubley/" TargetMode="External"/><Relationship Id="rId41" Type="http://schemas.openxmlformats.org/officeDocument/2006/relationships/hyperlink" Target="https://gr4vy.com/posts/top-12-payment-performance-benchmarks-for-2026/" TargetMode="External"/><Relationship Id="rId37" Type="http://schemas.openxmlformats.org/officeDocument/2006/relationships/hyperlink" Target="https://habr.com/ru/news/851328" TargetMode="External"/><Relationship Id="rId38" Type="http://schemas.openxmlformats.org/officeDocument/2006/relationships/hyperlink" Target="https://oborot.ru/news/rynok-internet-ekvajringa-v-rossii-kazhdaya-tretya-pokupka-s-marketplejsa-i-obshhij-rost-na-24-za-god-i233525.html" TargetMode="External"/><Relationship Id="rId32" Type="http://schemas.openxmlformats.org/officeDocument/2006/relationships/hyperlink" Target="https://smartranking.ru/ru/analytics/fintech/rossijskij-fintech-sektor-vyros-na-15-za-2025-god/" TargetMode="External"/><Relationship Id="rId39" Type="http://schemas.openxmlformats.org/officeDocument/2006/relationships/hyperlink" Target="https://www.cbr.ru/about_br/publ/results_work/2025/razvitie-sistemy-platezhey-i-raschetov/" TargetMode="External"/><Relationship Id="rId36" Type="http://schemas.openxmlformats.org/officeDocument/2006/relationships/hyperlink" Target="https://www.cnews.ru/news/line/2025-09-25_yumoney_zapustila_baas-platformu" TargetMode="External"/><Relationship Id="rId42" Type="http://schemas.openxmlformats.org/officeDocument/2006/relationships/hyperlink" Target="https://www.interfax.ru/business/1057737" TargetMode="External"/><Relationship Id="rId34" Type="http://schemas.openxmlformats.org/officeDocument/2006/relationships/hyperlink" Target="https://www.interfax.ru/business/953428" TargetMode="External"/><Relationship Id="rId35" Type="http://schemas.openxmlformats.org/officeDocument/2006/relationships/hyperlink" Target="https://www.interfax.ru/business/974807" TargetMode="External"/><Relationship Id="rId33" Type="http://schemas.openxmlformats.org/officeDocument/2006/relationships/hyperlink" Target="https://www.kommersant.ru/doc/8921055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https://arxiv.org/abs/2302.06590" TargetMode="External"/><Relationship Id="rId43" Type="http://schemas.openxmlformats.org/officeDocument/2006/relationships/hyperlink" Target="https://arxiv.org/abs/2410.12944" TargetMode="External"/><Relationship Id="rId45" Type="http://schemas.openxmlformats.org/officeDocument/2006/relationships/hyperlink" Target="https://arxiv.org/abs/2507.09089" TargetMode="External"/><Relationship Id="rId40" Type="http://schemas.openxmlformats.org/officeDocument/2006/relationships/hyperlink" Target="https://finansist-kras.ru/news/banks/obem-platezhey-cherez-banki-marketpleysov-v-2025-godu-vyros-do-9-8-trln-rubley/" TargetMode="External"/><Relationship Id="rId41" Type="http://schemas.openxmlformats.org/officeDocument/2006/relationships/hyperlink" Target="https://gr4vy.com/posts/top-12-payment-performance-benchmarks-for-2026/" TargetMode="External"/><Relationship Id="rId37" Type="http://schemas.openxmlformats.org/officeDocument/2006/relationships/hyperlink" Target="https://habr.com/ru/news/851328" TargetMode="External"/><Relationship Id="rId38" Type="http://schemas.openxmlformats.org/officeDocument/2006/relationships/hyperlink" Target="https://oborot.ru/news/rynok-internet-ekvajringa-v-rossii-kazhdaya-tretya-pokupka-s-marketplejsa-i-obshhij-rost-na-24-za-god-i233525.html" TargetMode="External"/><Relationship Id="rId32" Type="http://schemas.openxmlformats.org/officeDocument/2006/relationships/hyperlink" Target="https://smartranking.ru/ru/analytics/fintech/rossijskij-fintech-sektor-vyros-na-15-za-2025-god/" TargetMode="External"/><Relationship Id="rId39" Type="http://schemas.openxmlformats.org/officeDocument/2006/relationships/hyperlink" Target="https://www.cbr.ru/about_br/publ/results_work/2025/razvitie-sistemy-platezhey-i-raschetov/" TargetMode="External"/><Relationship Id="rId36" Type="http://schemas.openxmlformats.org/officeDocument/2006/relationships/hyperlink" Target="https://www.cnews.ru/news/line/2025-09-25_yumoney_zapustila_baas-platformu" TargetMode="External"/><Relationship Id="rId42" Type="http://schemas.openxmlformats.org/officeDocument/2006/relationships/hyperlink" Target="https://www.interfax.ru/business/1057737" TargetMode="External"/><Relationship Id="rId34" Type="http://schemas.openxmlformats.org/officeDocument/2006/relationships/hyperlink" Target="https://www.interfax.ru/business/953428" TargetMode="External"/><Relationship Id="rId35" Type="http://schemas.openxmlformats.org/officeDocument/2006/relationships/hyperlink" Target="https://www.interfax.ru/business/974807" TargetMode="External"/><Relationship Id="rId33" Type="http://schemas.openxmlformats.org/officeDocument/2006/relationships/hyperlink" Target="https://www.kommersant.ru/doc/892105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2026-10-21T12:28:08Z</dcterms:created>
  <dcterms:modified xsi:type="dcterms:W3CDTF">2026-10-21T12:28:08Z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