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ПР1 — Бизнес и его ИТ: ЮMoney</w:t>
      </w:r>
    </w:p>
    <w:p>
      <w:pPr/>
      <w:r>
        <w:t xml:space="preserve">Sep 21, 2026</w:t>
      </w:r>
      <w:r>
        <w:t xml:space="preserve"> · </w:t>
      </w:r>
      <w:r>
        <w:t xml:space="preserve">@Raf</w:t>
      </w:r>
    </w:p>
    <w:p>
      <w:pPr/>
      <w:r>
        <w:rPr>
          <w:b/>
        </w:rPr>
        <w:t xml:space="preserve">Диагноз:</w:t>
      </w:r>
      <w:r>
        <w:t xml:space="preserve"> ИТ ЮMoney работает как поставщик услуг — методом исключения: не служба (ИТ владеет продуктами), не партнёр (нигде не раскрыт посчитанный эффект инициатив, нет стратега при собственнике). Обязательства перед магазинами и Банком России она держит и по ним подотчётна. Самое слабое место — связь и безопасность: владельцы почты, мессенджера и VPN не установлены.</w:t>
      </w:r>
    </w:p>
    <w:p>
      <w:pPr/>
      <w:r>
        <w:rPr>
          <w:i/>
        </w:rPr>
        <w:t xml:space="preserve">Сценарии 48 (переносимость данных) и 67 (падение выручки на треть, реструктуризация долга) приняты как уже случившиеся: см. п. 1, 3, 4, 5, 7 и 8. Из-за них ИТ-функция перешла в красную зону (п. 5 и 8), остальные зоны прежние.</w:t>
      </w:r>
    </w:p>
    <w:p>
      <w:pPr>
        <w:pStyle w:val="Heading2"/>
      </w:pPr>
      <w:r>
        <w:t xml:space="preserve">Паспорт проекта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Бизнес</w:t>
            </w:r>
          </w:p>
        </w:tc>
        <w:tc>
          <w:tcPr>
            <w:tcW w:w="4680" w:type="dxa"/>
          </w:tcPr>
          <w:p>
            <w:pPr/>
            <w:r>
              <w:t xml:space="preserve">ЮMoney (ООО НКО «ЮМани»): приём платежей для магазинов (ЮKassa), кошелёк и карты, BaaS-платформа ЮSoft. 100% у Сбера (</w:t>
            </w:r>
            <w:hyperlink r:id="rId3" w:history="1">
              <w:r>
                <w:rPr>
                  <w:rStyle w:val="Hyperlink"/>
                </w:rPr>
                <w:t xml:space="preserve">9</w:t>
              </w:r>
            </w:hyperlink>
            <w:r>
              <w:t xml:space="preserve">, </w:t>
            </w:r>
            <w:hyperlink r:id="rId4" w:history="1">
              <w:r>
                <w:rPr>
                  <w:rStyle w:val="Hyperlink"/>
                </w:rPr>
                <w:t xml:space="preserve">10</w:t>
              </w:r>
            </w:hyperlink>
            <w:r>
              <w:t xml:space="preserve">, </w:t>
            </w:r>
            <w:hyperlink r:id="rId5" w:history="1">
              <w:r>
                <w:rPr>
                  <w:rStyle w:val="Hyperlink"/>
                </w:rPr>
                <w:t xml:space="preserve">11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Выручка за 2025 год</w:t>
            </w:r>
          </w:p>
        </w:tc>
        <w:tc>
          <w:tcPr>
            <w:tcW w:w="4680" w:type="dxa"/>
          </w:tcPr>
          <w:p>
            <w:pPr/>
            <w:r>
              <w:t xml:space="preserve">27,55 млрд ₽, +15,89% к 2024; №1 среди российских финтех-компаний по выручке (</w:t>
            </w:r>
            <w:hyperlink r:id="rId6" w:history="1">
              <w:r>
                <w:rPr>
                  <w:rStyle w:val="Hyperlink"/>
                </w:rPr>
                <w:t xml:space="preserve">1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Масштаб</w:t>
            </w:r>
          </w:p>
        </w:tc>
        <w:tc>
          <w:tcPr>
            <w:tcW w:w="4680" w:type="dxa"/>
          </w:tcPr>
          <w:p>
            <w:pPr/>
            <w:r>
              <w:t xml:space="preserve">1124 сотрудника, 456 — ИТ-специалисты (внутренние данные); около 100 млн зарегистрированных кошельков (</w:t>
            </w:r>
            <w:hyperlink r:id="rId7" w:history="1">
              <w:r>
                <w:rPr>
                  <w:rStyle w:val="Hyperlink"/>
                </w:rPr>
                <w:t xml:space="preserve">2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Состояние ИТ</w:t>
            </w:r>
          </w:p>
        </w:tc>
        <w:tc>
          <w:tcPr>
            <w:tcW w:w="4680" w:type="dxa"/>
          </w:tcPr>
          <w:p>
            <w:pPr/>
            <w:r>
              <w:t xml:space="preserve">Поставщик услуг — определено методом исключения (не служба, не партнёр); уверенность выше средней, каталог и SLA не опубликованы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Слабые места для ПР2</w:t>
            </w:r>
          </w:p>
        </w:tc>
        <w:tc>
          <w:tcPr>
            <w:tcW w:w="4680" w:type="dxa"/>
          </w:tcPr>
          <w:p>
            <w:pPr/>
            <w:r>
              <w:t xml:space="preserve">Связь: Выручка: около 89% комиссии — из одного сегмента (интернет-магазины) — база для гипотез роста в ПР2</w:t>
            </w:r>
          </w:p>
        </w:tc>
      </w:tr>
    </w:tbl>
    <w:p>
      <w:pPr>
        <w:pStyle w:val="Heading2"/>
      </w:pPr>
      <w:r>
        <w:t xml:space="preserve">1. Бизнес</w:t>
      </w:r>
    </w:p>
    <w:p>
      <w:pPr/>
      <w:r>
        <w:t xml:space="preserve">ЮMoney — крупнейшая по выручке российская финтех-компания: 27,55 млрд ₽ за 2025 год, +15,89% к 2024 (</w:t>
      </w:r>
      <w:hyperlink r:id="rId6" w:history="1">
        <w:r>
          <w:rPr>
            <w:rStyle w:val="Hyperlink"/>
          </w:rPr>
          <w:t xml:space="preserve">1</w:t>
        </w:r>
      </w:hyperlink>
      <w:r>
        <w:t xml:space="preserve">).</w:t>
      </w:r>
    </w:p>
    <w:p>
      <w:pPr/>
      <w:r>
        <w:t xml:space="preserve">Юридическое лицо — ООО НКО «ЮМани», небанковская кредитная организация с лицензией Банка России № 3510-К, зарегистрирована 02.08.2012, уставный капитал 90 млн ₽; лицензия даёт переводы без открытия счёта, счета юрлиц и валютные операции (</w:t>
      </w:r>
      <w:hyperlink r:id="rId3" w:history="1">
        <w:r>
          <w:rPr>
            <w:rStyle w:val="Hyperlink"/>
          </w:rPr>
          <w:t xml:space="preserve">9</w:t>
        </w:r>
      </w:hyperlink>
      <w:r>
        <w:t xml:space="preserve">). Отрасль — финтех, платёжные услуги. Компания выросла из «Яндекс.Денег»: в июле 2020 года Сбер, владевший 75%, выкупил остальные 25% и стал единственным собственником (</w:t>
      </w:r>
      <w:hyperlink r:id="rId4" w:history="1">
        <w:r>
          <w:rPr>
            <w:rStyle w:val="Hyperlink"/>
          </w:rPr>
          <w:t xml:space="preserve">10</w:t>
        </w:r>
      </w:hyperlink>
      <w:r>
        <w:t xml:space="preserve">); сейчас ЮMoney «полностью принадлежит Сбербанку» (</w:t>
      </w:r>
      <w:hyperlink r:id="rId5" w:history="1">
        <w:r>
          <w:rPr>
            <w:rStyle w:val="Hyperlink"/>
          </w:rPr>
          <w:t xml:space="preserve">11</w:t>
        </w:r>
      </w:hyperlink>
      <w:r>
        <w:t xml:space="preserve">). Генеральный директор Иван Глазачев руководит компанией с марта 2017 года (</w:t>
      </w:r>
      <w:hyperlink r:id="rId8" w:history="1">
        <w:r>
          <w:rPr>
            <w:rStyle w:val="Hyperlink"/>
          </w:rPr>
          <w:t xml:space="preserve">22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Год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Выручка по Smart Ranking, млрд 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Комиссионные доходы (РСБУ), млрд ₽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Чистая прибыль (РСБУ), млрд ₽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2025</w:t>
            </w:r>
          </w:p>
        </w:tc>
        <w:tc>
          <w:tcPr>
            <w:tcW w:w="2340" w:type="dxa"/>
          </w:tcPr>
          <w:p>
            <w:pPr/>
            <w:r>
              <w:t xml:space="preserve">27,55 (</w:t>
            </w:r>
            <w:hyperlink r:id="rId6" w:history="1">
              <w:r>
                <w:rPr>
                  <w:rStyle w:val="Hyperlink"/>
                </w:rPr>
                <w:t xml:space="preserve">1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не найдено</w:t>
            </w:r>
          </w:p>
        </w:tc>
        <w:tc>
          <w:tcPr>
            <w:tcW w:w="2340" w:type="dxa"/>
          </w:tcPr>
          <w:p>
            <w:pPr/>
            <w:r>
              <w:t xml:space="preserve">не найдено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2024</w:t>
            </w:r>
          </w:p>
        </w:tc>
        <w:tc>
          <w:tcPr>
            <w:tcW w:w="2340" w:type="dxa"/>
          </w:tcPr>
          <w:p>
            <w:pPr/>
            <w:r>
              <w:t xml:space="preserve">≈23,8 (расчёт: 27,55 / 1,1589)</w:t>
            </w:r>
          </w:p>
        </w:tc>
        <w:tc>
          <w:tcPr>
            <w:tcW w:w="2340" w:type="dxa"/>
          </w:tcPr>
          <w:p>
            <w:pPr/>
            <w:r>
              <w:t xml:space="preserve">не найдено</w:t>
            </w:r>
          </w:p>
        </w:tc>
        <w:tc>
          <w:tcPr>
            <w:tcW w:w="2340" w:type="dxa"/>
          </w:tcPr>
          <w:p>
            <w:pPr/>
            <w:r>
              <w:t xml:space="preserve">1,6 за I полугодие (</w:t>
            </w:r>
            <w:hyperlink r:id="rId9" w:history="1">
              <w:r>
                <w:rPr>
                  <w:rStyle w:val="Hyperlink"/>
                </w:rPr>
                <w:t xml:space="preserve">7</w:t>
              </w:r>
            </w:hyperlink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2023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19,77 (</w:t>
            </w:r>
            <w:hyperlink r:id="rId10" w:history="1">
              <w:r>
                <w:rPr>
                  <w:rStyle w:val="Hyperlink"/>
                </w:rPr>
                <w:t xml:space="preserve">6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2,0 (</w:t>
            </w:r>
            <w:hyperlink r:id="rId10" w:history="1">
              <w:r>
                <w:rPr>
                  <w:rStyle w:val="Hyperlink"/>
                </w:rPr>
                <w:t xml:space="preserve">6</w:t>
              </w:r>
            </w:hyperlink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2022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16,88 (</w:t>
            </w:r>
            <w:hyperlink r:id="rId10" w:history="1">
              <w:r>
                <w:rPr>
                  <w:rStyle w:val="Hyperlink"/>
                </w:rPr>
                <w:t xml:space="preserve">6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1,5 (</w:t>
            </w:r>
            <w:hyperlink r:id="rId11" w:history="1">
              <w:r>
                <w:rPr>
                  <w:rStyle w:val="Hyperlink"/>
                </w:rPr>
                <w:t xml:space="preserve">8</w:t>
              </w:r>
            </w:hyperlink>
            <w:r>
              <w:t xml:space="preserve">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2021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21,8 (</w:t>
            </w:r>
            <w:hyperlink r:id="rId11" w:history="1">
              <w:r>
                <w:rPr>
                  <w:rStyle w:val="Hyperlink"/>
                </w:rPr>
                <w:t xml:space="preserve">8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≈2,0 (расчёт: 1,5 / 0,75)</w:t>
            </w:r>
          </w:p>
        </w:tc>
      </w:tr>
    </w:tbl>
    <w:p>
      <w:pPr/>
      <w:r>
        <w:t xml:space="preserve">Выручка рейтинга и комиссионные доходы по РСБУ — разные показатели; как рейтинг считает «выручку» НКО, он не раскрывает (допущение А1). Квартальные данные сходятся между собой: 7,6 млрд ₽ в I квартале 2025 (</w:t>
      </w:r>
      <w:hyperlink r:id="rId12" w:history="1">
        <w:r>
          <w:rPr>
            <w:rStyle w:val="Hyperlink"/>
          </w:rPr>
          <w:t xml:space="preserve">3</w:t>
        </w:r>
      </w:hyperlink>
      <w:r>
        <w:t xml:space="preserve">) плюс 6,53 во II даёт 14,13 за полугодие (</w:t>
      </w:r>
      <w:hyperlink r:id="rId7" w:history="1">
        <w:r>
          <w:rPr>
            <w:rStyle w:val="Hyperlink"/>
          </w:rPr>
          <w:t xml:space="preserve">2</w:t>
        </w:r>
      </w:hyperlink>
      <w:r>
        <w:t xml:space="preserve">); II квартал 2026 — 7,325 млрд ₽ при росте 12%, что даёт те же 6,54 годом ранее, рынок в целом вырос на 9% (</w:t>
      </w:r>
      <w:hyperlink r:id="rId13" w:history="1">
        <w:r>
          <w:rPr>
            <w:rStyle w:val="Hyperlink"/>
          </w:rPr>
          <w:t xml:space="preserve">4</w:t>
        </w:r>
      </w:hyperlink>
      <w:r>
        <w:t xml:space="preserve">). В 2022 году, после блокирующих санкций США против Сбера, комиссионные доходы упали на 22,5% (</w:t>
      </w:r>
      <w:hyperlink r:id="rId11" w:history="1">
        <w:r>
          <w:rPr>
            <w:rStyle w:val="Hyperlink"/>
          </w:rPr>
          <w:t xml:space="preserve">8</w:t>
        </w:r>
      </w:hyperlink>
      <w:r>
        <w:t xml:space="preserve">).</w:t>
      </w:r>
    </w:p>
    <w:p>
      <w:pPr/>
      <w:r>
        <w:rPr>
          <w:i/>
        </w:rPr>
        <w:t xml:space="preserve">Сценарий 67 уже случился: выручка упала примерно на треть — с 27,55 млрд ₽ за 2025 год до ≈ 18,4 млрд ₽ в годовом выражении (расчёт, А14). Банки согласились на реструктуризацию долга при двух условиях: опекс снижается на 25%, а все крупные расходы, включая ИТ, согласует представитель кредиторов.</w:t>
      </w:r>
    </w:p>
    <w:p>
      <w:pPr>
        <w:pStyle w:val="Heading2"/>
      </w:pPr>
      <w:r>
        <w:t xml:space="preserve">2. Направления</w:t>
      </w:r>
    </w:p>
    <w:p>
      <w:pPr/>
      <w:r>
        <w:t xml:space="preserve">Доли направлений компания не раскрывает. Единственный публичный срез — комиссии по РСБУ за I полугодие 2024 года: из трёх названных статей около 89% приходится на комиссии от интернет-магазинов, то есть на ЮKassa (</w:t>
      </w:r>
      <w:hyperlink r:id="rId9" w:history="1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Направление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продаётся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Срез выручки (I полугодие 2024)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Доля трёх статей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ЮKassa</w:t>
            </w:r>
          </w:p>
        </w:tc>
        <w:tc>
          <w:tcPr>
            <w:tcW w:w="2340" w:type="dxa"/>
          </w:tcPr>
          <w:p>
            <w:pPr/>
            <w:r>
              <w:t xml:space="preserve">приём платежей для ИП, юрлиц и самозанятых (</w:t>
            </w:r>
            <w:hyperlink r:id="rId14" w:history="1">
              <w:r>
                <w:rPr>
                  <w:rStyle w:val="Hyperlink"/>
                </w:rPr>
                <w:t xml:space="preserve">25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9,2 млрд ₽, +11% к I полугодию 2023 (</w:t>
            </w:r>
            <w:hyperlink r:id="rId9" w:history="1">
              <w:r>
                <w:rPr>
                  <w:rStyle w:val="Hyperlink"/>
                </w:rPr>
                <w:t xml:space="preserve">7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≈89%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Переводы физлиц</w:t>
            </w:r>
          </w:p>
        </w:tc>
        <w:tc>
          <w:tcPr>
            <w:tcW w:w="2340" w:type="dxa"/>
          </w:tcPr>
          <w:p>
            <w:pPr/>
            <w:r>
              <w:t xml:space="preserve">переводы из кошелька и на карты</w:t>
            </w:r>
          </w:p>
        </w:tc>
        <w:tc>
          <w:tcPr>
            <w:tcW w:w="2340" w:type="dxa"/>
          </w:tcPr>
          <w:p>
            <w:pPr/>
            <w:r>
              <w:t xml:space="preserve">657 млн ₽, ×1,7 (</w:t>
            </w:r>
            <w:hyperlink r:id="rId9" w:history="1">
              <w:r>
                <w:rPr>
                  <w:rStyle w:val="Hyperlink"/>
                </w:rPr>
                <w:t xml:space="preserve">7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≈6%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Платежи физлиц</w:t>
            </w:r>
          </w:p>
        </w:tc>
        <w:tc>
          <w:tcPr>
            <w:tcW w:w="2340" w:type="dxa"/>
          </w:tcPr>
          <w:p>
            <w:pPr/>
            <w:r>
              <w:t xml:space="preserve">оплата услуг из кошелька</w:t>
            </w:r>
          </w:p>
        </w:tc>
        <w:tc>
          <w:tcPr>
            <w:tcW w:w="2340" w:type="dxa"/>
          </w:tcPr>
          <w:p>
            <w:pPr/>
            <w:r>
              <w:t xml:space="preserve">428 млн ₽ (было 38 млн) (</w:t>
            </w:r>
            <w:hyperlink r:id="rId9" w:history="1">
              <w:r>
                <w:rPr>
                  <w:rStyle w:val="Hyperlink"/>
                </w:rPr>
                <w:t xml:space="preserve">7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≈4%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Карты (около 3,5 млн пластиковых, более 35 млн виртуальных)</w:t>
            </w:r>
          </w:p>
        </w:tc>
        <w:tc>
          <w:tcPr>
            <w:tcW w:w="2340" w:type="dxa"/>
          </w:tcPr>
          <w:p>
            <w:pPr/>
            <w:r>
              <w:t xml:space="preserve">карты «Мир» и Visa (</w:t>
            </w:r>
            <w:hyperlink r:id="rId7" w:history="1">
              <w:r>
                <w:rPr>
                  <w:rStyle w:val="Hyperlink"/>
                </w:rPr>
                <w:t xml:space="preserve">2</w:t>
              </w:r>
            </w:hyperlink>
            <w:r>
              <w:t xml:space="preserve">, </w:t>
            </w:r>
            <w:hyperlink r:id="rId5" w:history="1">
              <w:r>
                <w:rPr>
                  <w:rStyle w:val="Hyperlink"/>
                </w:rPr>
                <w:t xml:space="preserve">11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не выделено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ЮSoft (BaaS)</w:t>
            </w:r>
          </w:p>
        </w:tc>
        <w:tc>
          <w:tcPr>
            <w:tcW w:w="2340" w:type="dxa"/>
          </w:tcPr>
          <w:p>
            <w:pPr/>
            <w:r>
              <w:t xml:space="preserve">кошельки, идентификация, переводы, карты в конструкторе для чужих продуктов; запущена 25.09.2025 (</w:t>
            </w:r>
            <w:hyperlink r:id="rId15" w:history="1">
              <w:r>
                <w:rPr>
                  <w:rStyle w:val="Hyperlink"/>
                </w:rPr>
                <w:t xml:space="preserve">23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не раскрыто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ЮBusiness (расчётный счёт)</w:t>
            </w:r>
          </w:p>
        </w:tc>
        <w:tc>
          <w:tcPr>
            <w:tcW w:w="2340" w:type="dxa"/>
          </w:tcPr>
          <w:p>
            <w:pPr/>
            <w:r>
              <w:t xml:space="preserve">РКО для предпринимателей (</w:t>
            </w:r>
            <w:hyperlink r:id="rId16" w:history="1">
              <w:r>
                <w:rPr>
                  <w:rStyle w:val="Hyperlink"/>
                </w:rPr>
                <w:t xml:space="preserve">14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не раскрыто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Число, которое важно для дальнейших работ: из комиссионных доходов 2023 года в 19,77 млрд ₽ компании остаётся лишь 5,76 млрд ₽ (≈29%), остальное — комиссионные расходы 14,01 млрд ₽; ещё 1,13 млрд ₽ — чистые процентные доходы (</w:t>
      </w:r>
      <w:hyperlink r:id="rId10" w:history="1">
        <w:r>
          <w:rPr>
            <w:rStyle w:val="Hyperlink"/>
          </w:rPr>
          <w:t xml:space="preserve">6</w:t>
        </w:r>
      </w:hyperlink>
      <w:r>
        <w:t xml:space="preserve">). То есть с каждого рубля комиссии маржа — около 29 копеек, и каждый платёж добавляет затраты на сети и банки-партнёры.</w:t>
      </w:r>
    </w:p>
    <w:p>
      <w:pPr>
        <w:pStyle w:val="Heading2"/>
      </w:pPr>
      <w:r>
        <w:t xml:space="preserve">3. Клиенты и каналы</w:t>
      </w:r>
    </w:p>
    <w:p>
      <w:pPr/>
      <w:r>
        <w:t xml:space="preserve">Большую часть выручки платят магазины и сервисы, подключённые по API и плагинам для CMS; физлица приносят малую долю выручки, но большую базу.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Клиент и за что платит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Масштаб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Канал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Интернет-магазины, ИП, самозанятые: комиссия с каждого платежа (ЮKassa)</w:t>
            </w:r>
          </w:p>
        </w:tc>
        <w:tc>
          <w:tcPr>
            <w:tcW w:w="3120" w:type="dxa"/>
          </w:tcPr>
          <w:p>
            <w:pPr/>
            <w:r>
              <w:t xml:space="preserve">37,6% магазинов Рунета в 2023 (</w:t>
            </w:r>
            <w:hyperlink r:id="rId17" w:history="1">
              <w:r>
                <w:rPr>
                  <w:rStyle w:val="Hyperlink"/>
                </w:rPr>
                <w:t xml:space="preserve">12</w:t>
              </w:r>
            </w:hyperlink>
            <w:r>
              <w:t xml:space="preserve">), 40% в I квартале 2025 (</w:t>
            </w:r>
            <w:hyperlink r:id="rId12" w:history="1">
              <w:r>
                <w:rPr>
                  <w:rStyle w:val="Hyperlink"/>
                </w:rPr>
                <w:t xml:space="preserve">3</w:t>
              </w:r>
            </w:hyperlink>
            <w:r>
              <w:t xml:space="preserve">) — оба числа самооценка компании; более 160 тыс. площадок из 75 стран (</w:t>
            </w:r>
            <w:hyperlink r:id="rId18" w:history="1">
              <w:r>
                <w:rPr>
                  <w:rStyle w:val="Hyperlink"/>
                </w:rPr>
                <w:t xml:space="preserve">21</w:t>
              </w:r>
            </w:hyperlink>
            <w:r>
              <w:t xml:space="preserve">) или 266+ тыс. (</w:t>
            </w:r>
            <w:hyperlink r:id="rId19" w:history="1">
              <w:r>
                <w:rPr>
                  <w:rStyle w:val="Hyperlink"/>
                </w:rPr>
                <w:t xml:space="preserve">13</w:t>
              </w:r>
            </w:hyperlink>
            <w:r>
              <w:t xml:space="preserve">) — числа расходятся; более 4,5 млн успешных платежей в сутки в 2024 (</w:t>
            </w:r>
            <w:hyperlink r:id="rId19" w:history="1">
              <w:r>
                <w:rPr>
                  <w:rStyle w:val="Hyperlink"/>
                </w:rPr>
                <w:t xml:space="preserve">13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API, плагины для CMS (например, WordPress, OpenCart) (</w:t>
            </w:r>
            <w:hyperlink r:id="rId20" w:history="1">
              <w:r>
                <w:rPr>
                  <w:rStyle w:val="Hyperlink"/>
                </w:rPr>
                <w:t xml:space="preserve">5</w:t>
              </w:r>
            </w:hyperlink>
            <w:r>
              <w:t xml:space="preserve">); партнёры — Авито, Ozon, Mail.ru, CDEK, Профи, часть исторические (</w:t>
            </w:r>
            <w:hyperlink r:id="rId14" w:history="1">
              <w:r>
                <w:rPr>
                  <w:rStyle w:val="Hyperlink"/>
                </w:rPr>
                <w:t xml:space="preserve">25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Компании, встраивающие финансы в свои продукты (ЮSoft): маркетплейсы, МФО, страховые, авиакомпании, застройщики (</w:t>
            </w:r>
            <w:hyperlink r:id="rId15" w:history="1">
              <w:r>
                <w:rPr>
                  <w:rStyle w:val="Hyperlink"/>
                </w:rPr>
                <w:t xml:space="preserve">23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запуск 25.09.2025, число клиентов и эффект не раскрыты</w:t>
            </w:r>
          </w:p>
        </w:tc>
        <w:tc>
          <w:tcPr>
            <w:tcW w:w="3120" w:type="dxa"/>
          </w:tcPr>
          <w:p>
            <w:pPr/>
            <w:r>
              <w:t xml:space="preserve">API-конструктор white-label (</w:t>
            </w:r>
            <w:hyperlink r:id="rId21" w:history="1">
              <w:r>
                <w:rPr>
                  <w:rStyle w:val="Hyperlink"/>
                </w:rPr>
                <w:t xml:space="preserve">24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Физлица: комиссии за переводы и платежи, карты</w:t>
            </w:r>
          </w:p>
        </w:tc>
        <w:tc>
          <w:tcPr>
            <w:tcW w:w="3120" w:type="dxa"/>
          </w:tcPr>
          <w:p>
            <w:pPr/>
            <w:r>
              <w:t xml:space="preserve">около 100 млн зарегистрированных кошельков (активных — не раскрыто), около 3,5 млн пластиковых и более 35 млн виртуальных карт (</w:t>
            </w:r>
            <w:hyperlink r:id="rId7" w:history="1">
              <w:r>
                <w:rPr>
                  <w:rStyle w:val="Hyperlink"/>
                </w:rPr>
                <w:t xml:space="preserve">2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приложение и сайт; СБП — переводы, пополнение, оплата по QR (</w:t>
            </w:r>
            <w:hyperlink r:id="rId22" w:history="1">
              <w:r>
                <w:rPr>
                  <w:rStyle w:val="Hyperlink"/>
                </w:rPr>
                <w:t xml:space="preserve">26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Китайские туристы: карта туриста</w:t>
            </w:r>
          </w:p>
        </w:tc>
        <w:tc>
          <w:tcPr>
            <w:tcW w:w="3120" w:type="dxa"/>
          </w:tcPr>
          <w:p>
            <w:pPr/>
            <w:r>
              <w:t xml:space="preserve">более 70% пользователей карты туриста — граждане КНР</w:t>
            </w:r>
          </w:p>
        </w:tc>
        <w:tc>
          <w:tcPr>
            <w:tcW w:w="3120" w:type="dxa"/>
          </w:tcPr>
          <w:p>
            <w:pPr/>
            <w:r>
              <w:t xml:space="preserve">портал и приложение адаптированы под КНР в августе 2026 (</w:t>
            </w:r>
            <w:hyperlink r:id="rId20" w:history="1">
              <w:r>
                <w:rPr>
                  <w:rStyle w:val="Hyperlink"/>
                </w:rPr>
                <w:t xml:space="preserve">5</w:t>
              </w:r>
            </w:hyperlink>
            <w:r>
              <w:t xml:space="preserve">)</w:t>
            </w:r>
          </w:p>
        </w:tc>
      </w:tr>
    </w:tbl>
    <w:p>
      <w:pPr/>
      <w:r>
        <w:t xml:space="preserve">Давление рынка на базу физлиц: банки крупнейших маркетплейсов (Яндекс, Ozon, Wildberries) за три года подняли свою долю рынка электронных денег с 2% до 40% (</w:t>
      </w:r>
      <w:hyperlink r:id="rId23" w:history="1">
        <w:r>
          <w:rPr>
            <w:rStyle w:val="Hyperlink"/>
          </w:rPr>
          <w:t xml:space="preserve">27</w:t>
        </w:r>
      </w:hyperlink>
      <w:r>
        <w:t xml:space="preserve">; в новости ЮMoney не упомянут). Рост ЮMoney замедлился: +16% в I полугодии 2025 → +12% во II квартале 2026 (</w:t>
      </w:r>
      <w:hyperlink r:id="rId7" w:history="1">
        <w:r>
          <w:rPr>
            <w:rStyle w:val="Hyperlink"/>
          </w:rPr>
          <w:t xml:space="preserve">2</w:t>
        </w:r>
      </w:hyperlink>
      <w:r>
        <w:t xml:space="preserve">, </w:t>
      </w:r>
      <w:hyperlink r:id="rId13" w:history="1">
        <w:r>
          <w:rPr>
            <w:rStyle w:val="Hyperlink"/>
          </w:rPr>
          <w:t xml:space="preserve">4</w:t>
        </w:r>
      </w:hyperlink>
      <w:r>
        <w:t xml:space="preserve">).</w:t>
      </w:r>
    </w:p>
    <w:p>
      <w:pPr/>
      <w:r>
        <w:rPr>
          <w:b/>
          <w:i/>
        </w:rPr>
        <w:t xml:space="preserve">Сценарий 48 (переносимость данных) уже наступил.</w:t>
      </w:r>
      <w:r>
        <w:t xml:space="preserve"> </w:t>
      </w:r>
      <w:r>
        <w:rPr>
          <w:i/>
        </w:rPr>
        <w:t xml:space="preserve">Регулирование принято: по запросу клиента ЮMoney обязан в течение нескольких дней передать историю операций, договоры и условия обслуживания ему самому или названной им третьей стороне, включая конкурентов, через стандартный цифровой интерфейс. До вступления требования в силу — 15 месяцев, штрафы сопоставимы с годовым бюджетом крупного проекта. Под ударом база физлиц: банки маркетплейсов получают возможность мгновенно делать клиентам кошелька персональные предложения на основе этих данных. Одновременно у ЮMoney появляется право с согласия клиента запрашивать данные у других участников рынка — новый канал продаж карт и ЮBusiness тем, кто сейчас пользуется чужими банками (гипотезы 1–3 в п. 8).</w:t>
      </w:r>
    </w:p>
    <w:p>
      <w:pPr>
        <w:pStyle w:val="Heading2"/>
      </w:pPr>
      <w:r>
        <w:t xml:space="preserve">4. Ключевые процессы</w:t>
      </w:r>
    </w:p>
    <w:p>
      <w:pPr/>
      <w:r>
        <w:t xml:space="preserve">Главный путь от заказа до денег — пять действий на линии «магазин → ЮKassa → банки и сети → магазин». Это процесс, который будет разбираться в ПР3.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A["1. Подключить магазин"] --&gt; B["2. Принять платёж"]</w:t>
        <w:br/>
        <w:t xml:space="preserve">  B --&gt; C["3. Провести платёж"]</w:t>
        <w:br/>
        <w:t xml:space="preserve">  C --&gt; D["4. Подтвердить и оформить чек"]</w:t>
        <w:br/>
        <w:t xml:space="preserve">  D --&gt; E["5. Рассчитаться с магазином"]</w:t>
      </w:r>
    </w:p>
    <w:p>
      <w:pPr/>
      <w:r>
        <w:t xml:space="preserve">На шагах 2–4 компания зарабатывает комиссию, на шаге 1 — получает нового клиента, на шаге 5 — фиксирует маржу.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Шаг (действие)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известно снаружи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1. Подключить магазин</w:t>
            </w:r>
          </w:p>
        </w:tc>
        <w:tc>
          <w:tcPr>
            <w:tcW w:w="4680" w:type="dxa"/>
          </w:tcPr>
          <w:p>
            <w:pPr/>
            <w:r>
              <w:t xml:space="preserve">заявлено «подключение от 1 дня» (</w:t>
            </w:r>
            <w:hyperlink r:id="rId24" w:history="1">
              <w:r>
                <w:rPr>
                  <w:rStyle w:val="Hyperlink"/>
                </w:rPr>
                <w:t xml:space="preserve">31</w:t>
              </w:r>
            </w:hyperlink>
            <w:r>
              <w:t xml:space="preserve">); плагины для CMS (</w:t>
            </w:r>
            <w:hyperlink r:id="rId20" w:history="1">
              <w:r>
                <w:rPr>
                  <w:rStyle w:val="Hyperlink"/>
                </w:rPr>
                <w:t xml:space="preserve">5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2. Принять платёж</w:t>
            </w:r>
          </w:p>
        </w:tc>
        <w:tc>
          <w:tcPr>
            <w:tcW w:w="4680" w:type="dxa"/>
          </w:tcPr>
          <w:p>
            <w:pPr/>
            <w:r>
              <w:t xml:space="preserve">пиковая нагрузка до 1000 платежей в секунду и до 6 млн транзакций в день на праздники и распродажи (2023) (</w:t>
            </w:r>
            <w:hyperlink r:id="rId17" w:history="1">
              <w:r>
                <w:rPr>
                  <w:rStyle w:val="Hyperlink"/>
                </w:rPr>
                <w:t xml:space="preserve">12</w:t>
              </w:r>
            </w:hyperlink>
            <w:r>
              <w:t xml:space="preserve">); более 4,5 млн успешных в сутки (2024) (</w:t>
            </w:r>
            <w:hyperlink r:id="rId19" w:history="1">
              <w:r>
                <w:rPr>
                  <w:rStyle w:val="Hyperlink"/>
                </w:rPr>
                <w:t xml:space="preserve">13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3. Провести платёж</w:t>
            </w:r>
          </w:p>
        </w:tc>
        <w:tc>
          <w:tcPr>
            <w:tcW w:w="4680" w:type="dxa"/>
          </w:tcPr>
          <w:p>
            <w:pPr/>
            <w:r>
              <w:t xml:space="preserve">способы оплаты: карты, кошелёк, QR, СБП (</w:t>
            </w:r>
            <w:hyperlink r:id="rId14" w:history="1">
              <w:r>
                <w:rPr>
                  <w:rStyle w:val="Hyperlink"/>
                </w:rPr>
                <w:t xml:space="preserve">25</w:t>
              </w:r>
            </w:hyperlink>
            <w:r>
              <w:t xml:space="preserve">, </w:t>
            </w:r>
            <w:hyperlink r:id="rId22" w:history="1">
              <w:r>
                <w:rPr>
                  <w:rStyle w:val="Hyperlink"/>
                </w:rPr>
                <w:t xml:space="preserve">26</w:t>
              </w:r>
            </w:hyperlink>
            <w:r>
              <w:t xml:space="preserve">); внутренний регламент не публичен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4. Подтвердить и оформить чек</w:t>
            </w:r>
          </w:p>
        </w:tc>
        <w:tc>
          <w:tcPr>
            <w:tcW w:w="4680" w:type="dxa"/>
          </w:tcPr>
          <w:p>
            <w:pPr/>
            <w:r>
              <w:t xml:space="preserve">чеки по 54-ФЗ в составе услуги (</w:t>
            </w:r>
            <w:hyperlink r:id="rId14" w:history="1">
              <w:r>
                <w:rPr>
                  <w:rStyle w:val="Hyperlink"/>
                </w:rPr>
                <w:t xml:space="preserve">25</w:t>
              </w:r>
            </w:hyperlink>
            <w:r>
              <w:t xml:space="preserve">); передача маркировки товаров упрощена для WordPress и OpenCart 28.07.2026 (</w:t>
            </w:r>
            <w:hyperlink r:id="rId20" w:history="1">
              <w:r>
                <w:rPr>
                  <w:rStyle w:val="Hyperlink"/>
                </w:rPr>
                <w:t xml:space="preserve">5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5. Рассчитаться с магазином</w:t>
            </w:r>
          </w:p>
        </w:tc>
        <w:tc>
          <w:tcPr>
            <w:tcW w:w="4680" w:type="dxa"/>
          </w:tcPr>
          <w:p>
            <w:pPr/>
            <w:r>
              <w:t xml:space="preserve">удержание комиссии; в услугах также сплитование, безопасные сделки, массовые выплаты (</w:t>
            </w:r>
            <w:hyperlink r:id="rId14" w:history="1">
              <w:r>
                <w:rPr>
                  <w:rStyle w:val="Hyperlink"/>
                </w:rPr>
                <w:t xml:space="preserve">25</w:t>
              </w:r>
            </w:hyperlink>
            <w:r>
              <w:t xml:space="preserve">); из комиссионных доходов 2023 года остаётся ≈29% (</w:t>
            </w:r>
            <w:hyperlink r:id="rId10" w:history="1">
              <w:r>
                <w:rPr>
                  <w:rStyle w:val="Hyperlink"/>
                </w:rPr>
                <w:t xml:space="preserve">6</w:t>
              </w:r>
            </w:hyperlink>
            <w:r>
              <w:t xml:space="preserve">)</w:t>
            </w:r>
          </w:p>
        </w:tc>
      </w:tr>
    </w:tbl>
    <w:p>
      <w:pPr/>
      <w:r>
        <w:t xml:space="preserve">За 2023–2026 годы в проверенных источниках — один сбой (17.02.2023, «проблема в сети», магазины ЮKassa не принимали оплату картами, длительность не объявлена, </w:t>
      </w:r>
      <w:hyperlink r:id="rId25" w:history="1">
        <w:r>
          <w:rPr>
            <w:rStyle w:val="Hyperlink"/>
          </w:rPr>
          <w:t xml:space="preserve">19</w:t>
        </w:r>
      </w:hyperlink>
      <w:r>
        <w:t xml:space="preserve">); других публичных нарушений процесса не найдено — по этим данным процесс выглядит устойчивым.</w:t>
      </w:r>
    </w:p>
    <w:p>
      <w:pPr/>
      <w:r>
        <w:rPr>
          <w:i/>
        </w:rPr>
        <w:t xml:space="preserve">Сценарий 48 добавил в процесс обязательный шаг: выдача данных клиента по запросу — проверка согласия, сбор истории операций и условий обслуживания (договоры самого клиента, не внутренние), передача по стандартному интерфейсу за несколько дней. Данные у компании уже есть, нужен слой интерфейса под стандарт; собирать его логично на той же API-платформе, что и ЮSoft (гипотеза, не подтверждена). Срок — 15 месяцев.</w:t>
      </w:r>
    </w:p>
    <w:p>
      <w:pPr>
        <w:pStyle w:val="Heading2"/>
      </w:pPr>
      <w:r>
        <w:t xml:space="preserve">5. ИТ-функция</w:t>
      </w:r>
    </w:p>
    <w:p>
      <w:pPr/>
      <w:r>
        <w:t xml:space="preserve">ИТ — значительная часть бизнеса: 1124 сотрудника, 456 — ИТ-специалисты (внутренние данные).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Параметр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Что найдено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Размер и класс</w:t>
            </w:r>
          </w:p>
        </w:tc>
        <w:tc>
          <w:tcPr>
            <w:tcW w:w="4680" w:type="dxa"/>
          </w:tcPr>
          <w:p>
            <w:pPr/>
            <w:r>
              <w:t xml:space="preserve">крупный: 1124 сотрудника; входит в экосистему Сбера; отрасль — финтех под надзором ЦБ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Продуктовая разработка</w:t>
            </w:r>
          </w:p>
        </w:tc>
        <w:tc>
          <w:tcPr>
            <w:tcW w:w="4680" w:type="dxa"/>
          </w:tcPr>
          <w:p>
            <w:pPr/>
            <w:r>
              <w:t xml:space="preserve">делает сам продукт: платёжные сервисы, ЮSoft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Внутренняя ИТ и ИБ</w:t>
            </w:r>
          </w:p>
        </w:tc>
        <w:tc>
          <w:tcPr>
            <w:tcW w:w="4680" w:type="dxa"/>
          </w:tcPr>
          <w:p>
            <w:pPr/>
            <w:r>
              <w:t xml:space="preserve">456 ИТ-специалистов: администраторы, мониторинг, отдел ИБ; свои библиотеки (внутренние данные)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Каталог услуг</w:t>
            </w:r>
          </w:p>
        </w:tc>
        <w:tc>
          <w:tcPr>
            <w:tcW w:w="4680" w:type="dxa"/>
          </w:tcPr>
          <w:p>
            <w:pPr/>
            <w:r>
              <w:t xml:space="preserve">внутреннего каталога с владельцами и SLA не найдено; ЮKassa и ЮSoft описаны как продукты со своими владельцами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Поставщики</w:t>
            </w:r>
          </w:p>
        </w:tc>
        <w:tc>
          <w:tcPr>
            <w:tcW w:w="4680" w:type="dxa"/>
          </w:tcPr>
          <w:p>
            <w:pPr/>
            <w:r>
              <w:t xml:space="preserve"> Dr.Web (вендор, сертификаты ФСТЭК, Минобороны, ФСБ) — для защиты рабочих мест (</w:t>
            </w:r>
            <w:hyperlink r:id="rId26" w:history="1">
              <w:r>
                <w:rPr>
                  <w:rStyle w:val="Hyperlink"/>
                </w:rPr>
                <w:t xml:space="preserve">16</w:t>
              </w:r>
            </w:hyperlink>
            <w:r>
              <w:t xml:space="preserve">, </w:t>
            </w:r>
            <w:hyperlink r:id="rId27" w:history="1">
              <w:r>
                <w:rPr>
                  <w:rStyle w:val="Hyperlink"/>
                </w:rPr>
                <w:t xml:space="preserve">17</w:t>
              </w:r>
            </w:hyperlink>
            <w:r>
              <w:t xml:space="preserve">); кто контролирует поставщиков — не найдено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Руководство</w:t>
            </w:r>
          </w:p>
        </w:tc>
        <w:tc>
          <w:tcPr>
            <w:tcW w:w="4680" w:type="dxa"/>
          </w:tcPr>
          <w:p>
            <w:pPr/>
            <w:r>
              <w:t xml:space="preserve">генеральный директор Иван Глазачев (</w:t>
            </w:r>
            <w:hyperlink r:id="rId8" w:history="1">
              <w:r>
                <w:rPr>
                  <w:rStyle w:val="Hyperlink"/>
                </w:rPr>
                <w:t xml:space="preserve">22</w:t>
              </w:r>
            </w:hyperlink>
            <w:r>
              <w:t xml:space="preserve">); у ЮSoft отдельный руководитель (</w:t>
            </w:r>
            <w:hyperlink r:id="rId15" w:history="1">
              <w:r>
                <w:rPr>
                  <w:rStyle w:val="Hyperlink"/>
                </w:rPr>
                <w:t xml:space="preserve">23</w:t>
              </w:r>
            </w:hyperlink>
            <w:r>
              <w:t xml:space="preserve">); CIO/CTO </w:t>
            </w:r>
          </w:p>
        </w:tc>
      </w:tr>
    </w:tbl>
    <w:p>
      <w:pPr/>
      <w:r>
        <w:rPr>
          <w:i/>
        </w:rPr>
        <w:t xml:space="preserve">Сценарий 67 уже идёт и бьёт по этой функции сильнее прочих: ИТ-специалисты — 456 из 1124, около 41% штата, а опекс нужно снизить на 25%. Часть ИТ-подрядчиков перешла на предоплату, лучшие разработчики получают предложения от более устойчивых работодателей, а каждый крупный расход, включая ИТ, согласует представитель кредиторов — значит, каждый ИТ-проект теперь приходит с эффектом в рублях и сроком. Поэтому зона этого блока — красная (п. 8).</w:t>
      </w:r>
    </w:p>
    <w:p>
      <w:pPr>
        <w:pStyle w:val="Heading2"/>
      </w:pPr>
      <w:r>
        <w:t xml:space="preserve">6. Связь и безопасность</w:t>
      </w:r>
    </w:p>
    <w:p>
      <w:pPr/>
      <w:r>
        <w:t xml:space="preserve">Отдел ИБ есть в штате. Владельцев почты, телефонии, видеосвязи и VPN в открытых источниках не установлено — это пробел данных, не оценка качества.</w:t>
      </w:r>
    </w:p>
    <w:p>
      <w:pPr/>
      <w:r>
        <w:rPr>
          <w:b/>
        </w:rPr>
        <w:t xml:space="preserve">Кто что держит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Услуга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Владелец и откуда известно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Информационная безопасность</w:t>
            </w:r>
          </w:p>
        </w:tc>
        <w:tc>
          <w:tcPr>
            <w:tcW w:w="4680" w:type="dxa"/>
          </w:tcPr>
          <w:p>
            <w:pPr/>
            <w:r>
              <w:t xml:space="preserve">отдел ИБ; защита рабочих мест — Dr.Web, закупка через X-Com (</w:t>
            </w:r>
            <w:hyperlink r:id="rId26" w:history="1">
              <w:r>
                <w:rPr>
                  <w:rStyle w:val="Hyperlink"/>
                </w:rPr>
                <w:t xml:space="preserve">16</w:t>
              </w:r>
            </w:hyperlink>
            <w:r>
              <w:t xml:space="preserve">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Мессенджер</w:t>
            </w:r>
          </w:p>
        </w:tc>
        <w:tc>
          <w:tcPr>
            <w:tcW w:w="4680" w:type="dxa"/>
          </w:tcPr>
          <w:p>
            <w:pPr/>
            <w:r>
              <w:t xml:space="preserve">коммуникация в Telegram (внутренние и публичные каналы)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Почта, телефония, видеосвязь, VPN, доступы, резервные копии</w:t>
            </w:r>
          </w:p>
        </w:tc>
        <w:tc>
          <w:tcPr>
            <w:tcW w:w="4680" w:type="dxa"/>
          </w:tcPr>
          <w:p>
            <w:pPr/>
            <w:r>
              <w:t xml:space="preserve">Внутрении каналы, внутрении средства</w:t>
            </w:r>
          </w:p>
        </w:tc>
      </w:tr>
    </w:tbl>
    <w:p>
      <w:pPr/>
      <w:r>
        <w:rPr>
          <w:b/>
        </w:rPr>
        <w:t xml:space="preserve">Публичные инциденты</w:t>
      </w:r>
      <w:r>
        <w:t xml:space="preserve"> (новые сверху)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Дата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Событие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Последствие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26.08–04.09.2024</w:t>
            </w:r>
          </w:p>
        </w:tc>
        <w:tc>
          <w:tcPr>
            <w:tcW w:w="3120" w:type="dxa"/>
          </w:tcPr>
          <w:p>
            <w:pPr/>
            <w:r>
              <w:t xml:space="preserve">исследователь сообщил о CORS-уязвимости личных страниц ЮМани: баланс, e-mail, телефон, карты, история операций (</w:t>
            </w:r>
            <w:hyperlink r:id="rId28" w:history="1">
              <w:r>
                <w:rPr>
                  <w:rStyle w:val="Hyperlink"/>
                </w:rPr>
                <w:t xml:space="preserve">18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закрыта примерно за 9 дней; вознаграждение (до 400 тыс. ₽ за критическую) не выплачено, отчёт отмечен «дубликатом»; всё — со слов автора, версия компании не найдена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17.02.2023</w:t>
            </w:r>
          </w:p>
        </w:tc>
        <w:tc>
          <w:tcPr>
            <w:tcW w:w="3120" w:type="dxa"/>
          </w:tcPr>
          <w:p>
            <w:pPr/>
            <w:r>
              <w:t xml:space="preserve">сбой ЮMoney и ЮKassa «проблема в сети» (</w:t>
            </w:r>
            <w:hyperlink r:id="rId25" w:history="1">
              <w:r>
                <w:rPr>
                  <w:rStyle w:val="Hyperlink"/>
                </w:rPr>
                <w:t xml:space="preserve">19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магазины не принимали оплату картами; длительность не объявлена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апрель 2022</w:t>
            </w:r>
          </w:p>
        </w:tc>
        <w:tc>
          <w:tcPr>
            <w:tcW w:w="3120" w:type="dxa"/>
          </w:tcPr>
          <w:p>
            <w:pPr/>
            <w:r>
              <w:t xml:space="preserve">блокирующие санкции США против Сбера, затем ЮMoney в санкционных списках (</w:t>
            </w:r>
            <w:hyperlink r:id="rId11" w:history="1">
              <w:r>
                <w:rPr>
                  <w:rStyle w:val="Hyperlink"/>
                </w:rPr>
                <w:t xml:space="preserve">8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комиссионные доходы 2022 года − 22,5% (с 21,8 до 16,9 млрд ₽)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12.01.2021</w:t>
            </w:r>
          </w:p>
        </w:tc>
        <w:tc>
          <w:tcPr>
            <w:tcW w:w="3120" w:type="dxa"/>
          </w:tcPr>
          <w:p>
            <w:pPr/>
            <w:r>
              <w:t xml:space="preserve">ЦБ на 6 месяцев запретил платежи граждан в адрес нерезидентов и переводы от зарубежных фирм; по данным Frank Media, потоки шли в онлайн-казино и к нелегальным букмекерам (</w:t>
            </w:r>
            <w:hyperlink r:id="rId29" w:history="1">
              <w:r>
                <w:rPr>
                  <w:rStyle w:val="Hyperlink"/>
                </w:rPr>
                <w:t xml:space="preserve">20</w:t>
              </w:r>
            </w:hyperlink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компания заявила, что попало «небольшое число компаний»; аналогичный запрет к QIWI обрушил её акции на 20%</w:t>
            </w:r>
          </w:p>
        </w:tc>
      </w:tr>
    </w:tbl>
    <w:p>
      <w:pPr/>
      <w:r>
        <w:t xml:space="preserve">За 2023–2026 годы в проверенных источниках найден один публичный сбой сервиса и одна публичная уязвимость; утечек данных клиентов в проверенных источниках не найдено.</w:t>
      </w:r>
    </w:p>
    <w:p>
      <w:pPr/>
    </w:p>
    <w:p>
      <w:pPr>
        <w:pStyle w:val="Heading2"/>
      </w:pPr>
      <w:r>
        <w:t xml:space="preserve">7. Состояние ИТ</w:t>
      </w:r>
    </w:p>
    <w:p>
      <w:pPr/>
      <w:r>
        <w:t xml:space="preserve">Выбранное состояние — </w:t>
      </w:r>
      <w:r>
        <w:rPr>
          <w:b/>
        </w:rPr>
        <w:t xml:space="preserve">поставщик услуг</w:t>
      </w:r>
      <w:r>
        <w:t xml:space="preserve">, определено методом исключения: ниже видно, почему это не служба и не партнёр. Самоназвание компании в диагноз не входит.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Состояние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Признак из задания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Что видно у ЮMoney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Итог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Служба</w:t>
            </w:r>
          </w:p>
        </w:tc>
        <w:tc>
          <w:tcPr>
            <w:tcW w:w="2340" w:type="dxa"/>
          </w:tcPr>
          <w:p>
            <w:pPr/>
            <w:r>
              <w:t xml:space="preserve">нет каталога услуг; ИТ узнаёт о задаче после решения</w:t>
            </w:r>
          </w:p>
        </w:tc>
        <w:tc>
          <w:tcPr>
            <w:tcW w:w="2340" w:type="dxa"/>
          </w:tcPr>
          <w:p>
            <w:pPr/>
            <w:r>
              <w:t xml:space="preserve">ИТ владеет продуктами (ЮKassa, ЮSoft с отдельным руководителем, </w:t>
            </w:r>
            <w:hyperlink r:id="rId15" w:history="1">
              <w:r>
                <w:rPr>
                  <w:rStyle w:val="Hyperlink"/>
                </w:rPr>
                <w:t xml:space="preserve">23</w:t>
              </w:r>
            </w:hyperlink>
            <w:r>
              <w:t xml:space="preserve">), а не выполняет чужие заявки</w:t>
            </w:r>
          </w:p>
        </w:tc>
        <w:tc>
          <w:tcPr>
            <w:tcW w:w="2340" w:type="dxa"/>
          </w:tcPr>
          <w:p>
            <w:pPr/>
            <w:r>
              <w:t xml:space="preserve">не подходит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b/>
              </w:rPr>
              <w:t xml:space="preserve">Поставщик услуг</w:t>
            </w:r>
          </w:p>
        </w:tc>
        <w:tc>
          <w:tcPr>
            <w:tcW w:w="2340" w:type="dxa"/>
          </w:tcPr>
          <w:p>
            <w:pPr/>
            <w:r>
              <w:t xml:space="preserve">есть каталог с владельцами и целевыми уровнями, по ним отчётность</w:t>
            </w:r>
          </w:p>
        </w:tc>
        <w:tc>
          <w:tcPr>
            <w:tcW w:w="2340" w:type="dxa"/>
          </w:tcPr>
          <w:p>
            <w:pPr/>
            <w:r>
              <w:t xml:space="preserve">ИТ не служба (владеет продуктами) и не партнёр (см. ниже) — по методу исключения поставщик услуг. Внешняя подотчётность подтверждена: регулятор задаёт обязательные, измеримые уровни защиты (821-П, </w:t>
            </w:r>
            <w:hyperlink r:id="rId30" w:history="1">
              <w:r>
                <w:rPr>
                  <w:rStyle w:val="Hyperlink"/>
                </w:rPr>
                <w:t xml:space="preserve">30</w:t>
              </w:r>
            </w:hyperlink>
            <w:r>
              <w:t xml:space="preserve">) и требует конкретных средств защиты (</w:t>
            </w:r>
            <w:hyperlink r:id="rId26" w:history="1">
              <w:r>
                <w:rPr>
                  <w:rStyle w:val="Hyperlink"/>
                </w:rPr>
                <w:t xml:space="preserve">16</w:t>
              </w:r>
            </w:hyperlink>
            <w:r>
              <w:t xml:space="preserve">); клиенты ЮKassa — сторона, перед которой есть обязательства по доступности сервиса. Публикации каталога услуг и отчёта по SLA не нашёл.</w:t>
            </w:r>
          </w:p>
        </w:tc>
        <w:tc>
          <w:tcPr>
            <w:tcW w:w="2340" w:type="dxa"/>
          </w:tcPr>
          <w:p>
            <w:pPr/>
            <w:r>
              <w:rPr>
                <w:b/>
              </w:rPr>
              <w:t xml:space="preserve">выбрано</w:t>
            </w:r>
            <w:r>
              <w:t xml:space="preserve"> (метод исключения + внешняя подотчётность)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Партнёр</w:t>
            </w:r>
          </w:p>
        </w:tc>
        <w:tc>
          <w:tcPr>
            <w:tcW w:w="2340" w:type="dxa"/>
          </w:tcPr>
          <w:p>
            <w:pPr/>
            <w:r>
              <w:t xml:space="preserve">ИТ в решении до требований; стратег при собственнике</w:t>
            </w:r>
          </w:p>
        </w:tc>
        <w:tc>
          <w:tcPr>
            <w:tcW w:w="2340" w:type="dxa"/>
          </w:tcPr>
          <w:p>
            <w:pPr/>
            <w:r>
              <w:t xml:space="preserve">продукты выходят регулярно (ЮSoft — 09.2025, карта для туристов — 08.2026, MCP-сервер — 09.2026, </w:t>
            </w:r>
            <w:hyperlink r:id="rId20" w:history="1">
              <w:r>
                <w:rPr>
                  <w:rStyle w:val="Hyperlink"/>
                </w:rPr>
                <w:t xml:space="preserve">5</w:t>
              </w:r>
            </w:hyperlink>
            <w:r>
              <w:t xml:space="preserve">), но ни разу не раскрыт посчитанный эффект инициативы; постоянный стратег/CIO при собственнике не назван (</w:t>
            </w:r>
            <w:hyperlink r:id="rId15" w:history="1">
              <w:r>
                <w:rPr>
                  <w:rStyle w:val="Hyperlink"/>
                </w:rPr>
                <w:t xml:space="preserve">23</w:t>
              </w:r>
            </w:hyperlink>
            <w:r>
              <w:t xml:space="preserve">)</w:t>
            </w:r>
          </w:p>
        </w:tc>
        <w:tc>
          <w:tcPr>
            <w:tcW w:w="2340" w:type="dxa"/>
          </w:tcPr>
          <w:p>
            <w:pPr/>
            <w:r>
              <w:t xml:space="preserve">нет — эффект инициатив нигде не раскрыт</w:t>
            </w:r>
          </w:p>
        </w:tc>
      </w:tr>
    </w:tbl>
    <w:p>
      <w:pPr/>
      <w:r>
        <w:t xml:space="preserve">Продуктовая разработка ближе к поставщику услуг, чем к партнёру: посчитанного эффекта от новых продуктов (ЮSoft, MCP-сервер) нигде не раскрыто, а сами продукты запущены недавно — судить о партнёрстве рано. Для внутренней ИТ и ИБ вывод тот же и жёстче: каталога услуг с SLA нет, а защита закупается по требованию регулятора, не по решению стратега.</w:t>
      </w:r>
    </w:p>
    <w:p>
      <w:pPr/>
      <w:r>
        <w:rPr>
          <w:i/>
        </w:rPr>
        <w:t xml:space="preserve">Сценарий 67 проверяет это состояние прямо сейчас: согласование крупных ИТ-расходов представителем кредиторов — новая внешняя подотчётность, только за деньги, а не за сервис. Чтобы получать согласования быстро, ИТ вынуждена считать эффект каждого проекта — то есть делать то, чего раньше не было видно и что отличает партнёра от поставщика. Если получится показывать эффект, ИТ движется от поставщика к партнёру.</w:t>
      </w:r>
    </w:p>
    <w:p>
      <w:pPr>
        <w:pStyle w:val="Heading2"/>
      </w:pPr>
      <w:r>
        <w:t xml:space="preserve">8. Зоны по блокам</w:t>
      </w:r>
    </w:p>
    <w:p>
      <w:pPr/>
      <w:r>
        <w:rPr>
          <w:i/>
        </w:rPr>
        <w:t xml:space="preserve">Зелёные зоны — клиенты и каналы, ключевые процессы и состояние ИТ; жёлтые — направления (концентрация выручки) и связь с безопасностью (владельцы каналов не установлены); красная — ИТ-функция.</w:t>
      </w:r>
    </w:p>
    <w:p>
      <w:pPr/>
      <w:r>
        <w:rPr>
          <w:i/>
        </w:rPr>
        <w:t xml:space="preserve">ИТ-функция стала красной из-за сценариев: это единственный блок, где одновременно урезают ресурс (опекс −25%, предоплата, уход людей) и добавляют обязательную срочную работу (интерфейс за 15 месяцев). Красный здесь означает подтверждённую угрозу работе блока, а не отсутствие данных. Остальные зоны не меняются: новых фактов по ним нет, а п. 3 получил и угрозу (данные клиентов уходят конкурентам), и новый канал продаж.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Блок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Зона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Признак в одну строку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 Направления</w:t>
            </w:r>
          </w:p>
        </w:tc>
        <w:tc>
          <w:tcPr>
            <w:tcW w:w="3120" w:type="dxa"/>
          </w:tcPr>
          <w:p>
            <w:pPr/>
            <w:r>
              <w:t xml:space="preserve">🟡</w:t>
            </w:r>
          </w:p>
        </w:tc>
        <w:tc>
          <w:tcPr>
            <w:tcW w:w="3120" w:type="dxa"/>
          </w:tcPr>
          <w:p>
            <w:pPr/>
            <w:r>
              <w:t xml:space="preserve">около 89% трёх выделенных статей комиссии — из одного направления (интернет-магазины), маржа с комиссии ≈ 29% (</w:t>
            </w:r>
            <w:hyperlink r:id="rId9" w:history="1">
              <w:r>
                <w:rPr>
                  <w:rStyle w:val="Hyperlink"/>
                </w:rPr>
                <w:t xml:space="preserve">7</w:t>
              </w:r>
            </w:hyperlink>
            <w:r>
              <w:t xml:space="preserve">, </w:t>
            </w:r>
            <w:hyperlink r:id="rId10" w:history="1">
              <w:r>
                <w:rPr>
                  <w:rStyle w:val="Hyperlink"/>
                </w:rPr>
                <w:t xml:space="preserve">6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3. Клиенты и каналы</w:t>
            </w:r>
          </w:p>
        </w:tc>
        <w:tc>
          <w:tcPr>
            <w:tcW w:w="3120" w:type="dxa"/>
          </w:tcPr>
          <w:p>
            <w:pPr/>
            <w:r>
              <w:t xml:space="preserve">🟢</w:t>
            </w:r>
          </w:p>
        </w:tc>
        <w:tc>
          <w:tcPr>
            <w:tcW w:w="3120" w:type="dxa"/>
          </w:tcPr>
          <w:p>
            <w:pPr/>
            <w:r>
              <w:t xml:space="preserve">первое место по выручке девятый квартал подряд, 37,6–40% магазинов Рунета (самооценка); оговорка: рост замедлился с +16% до +12% (</w:t>
            </w:r>
            <w:hyperlink r:id="rId20" w:history="1">
              <w:r>
                <w:rPr>
                  <w:rStyle w:val="Hyperlink"/>
                </w:rPr>
                <w:t xml:space="preserve">5</w:t>
              </w:r>
            </w:hyperlink>
            <w:r>
              <w:t xml:space="preserve">, </w:t>
            </w:r>
            <w:hyperlink r:id="rId12" w:history="1">
              <w:r>
                <w:rPr>
                  <w:rStyle w:val="Hyperlink"/>
                </w:rPr>
                <w:t xml:space="preserve">3</w:t>
              </w:r>
            </w:hyperlink>
            <w:r>
              <w:t xml:space="preserve">, </w:t>
            </w:r>
            <w:hyperlink r:id="rId13" w:history="1">
              <w:r>
                <w:rPr>
                  <w:rStyle w:val="Hyperlink"/>
                </w:rPr>
                <w:t xml:space="preserve">4</w:t>
              </w:r>
            </w:hyperlink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4. Ключевые процессы</w:t>
            </w:r>
          </w:p>
        </w:tc>
        <w:tc>
          <w:tcPr>
            <w:tcW w:w="3120" w:type="dxa"/>
          </w:tcPr>
          <w:p>
            <w:pPr/>
            <w:r>
              <w:t xml:space="preserve">🟢</w:t>
            </w:r>
          </w:p>
        </w:tc>
        <w:tc>
          <w:tcPr>
            <w:tcW w:w="3120" w:type="dxa"/>
          </w:tcPr>
          <w:p>
            <w:pPr/>
            <w:r>
              <w:t xml:space="preserve">процесс из 5 шагов описан по открытым источникам; за 2023–2026 годы только один сбой (17.02.2023), других публичных нарушений не найдено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5. ИТ-функция</w:t>
            </w:r>
          </w:p>
        </w:tc>
        <w:tc>
          <w:tcPr>
            <w:tcW w:w="3120" w:type="dxa"/>
          </w:tcPr>
          <w:p>
            <w:pPr/>
            <w:r>
              <w:t xml:space="preserve">🔴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в ИТ 456 из 1124 сотрудников (≈41%, внутренние данные), и оба сценария бьют именно по этой функции: опекс −25%, подрядчики на предоплате, сильные разработчики получают чужие офферы, крупные траты согласует представитель кредиторов, а на обязательный интерфейс переносимости данных остаётся 15 месяцев; владельцы продуктов названы, но ресурса на всё сразу нет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6. Связь и безопасность</w:t>
            </w:r>
          </w:p>
        </w:tc>
        <w:tc>
          <w:tcPr>
            <w:tcW w:w="3120" w:type="dxa"/>
          </w:tcPr>
          <w:p>
            <w:pPr/>
            <w:r>
              <w:t xml:space="preserve">🟢 </w:t>
            </w:r>
          </w:p>
        </w:tc>
        <w:tc>
          <w:tcPr>
            <w:tcW w:w="3120" w:type="dxa"/>
          </w:tcPr>
          <w:p>
            <w:pPr/>
            <w:r>
              <w:t xml:space="preserve">Все хорошо настроено + 1 инцедент крупный за 3 года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7. Состояние ИТ</w:t>
            </w:r>
          </w:p>
        </w:tc>
        <w:tc>
          <w:tcPr>
            <w:tcW w:w="3120" w:type="dxa"/>
          </w:tcPr>
          <w:p>
            <w:pPr/>
            <w:r>
              <w:t xml:space="preserve">🟢</w:t>
            </w:r>
          </w:p>
        </w:tc>
        <w:tc>
          <w:tcPr>
            <w:tcW w:w="3120" w:type="dxa"/>
          </w:tcPr>
          <w:p>
            <w:pPr/>
            <w:r>
              <w:t xml:space="preserve">методом исключения: не служба (владеет продуктами) и не партнёр (эффект нигде не раскрыт); поставщик услуг подтверждён внешней, измеримой подотчётностью регулятору и клиентам ЮKassa</w:t>
            </w:r>
          </w:p>
        </w:tc>
      </w:tr>
    </w:tbl>
    <w:p>
      <w:pPr/>
      <w:r>
        <w:rPr>
          <w:b/>
          <w:i/>
        </w:rPr>
        <w:t xml:space="preserve">Анализ проблем в порядке срочности: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ИТ-функция (🔴): 41% штата под сокращением расходов, а обязательная работа по сценарию 48 и рост зависят от тех же людей; главный риск — потерять сильных разработчиков, а не переплатить за офис или льготы, поэтому льготы сохранены.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Концентрация выручки (🟡): около 89% комиссии — из эквайринга ЮKassa (А1), выручка уже упала на треть (А14); новое падение здесь ударит по всему бизнесу и по способности обслуживать реструктурированный долг.</w:t>
      </w:r>
    </w:p>
    <w:p>
      <w:pPr>
        <w:pStyle w:val="ListParagraph"/>
        <w:numPr>
          <w:ilvl w:val="0"/>
          <w:numId w:val="2"/>
        </w:numPr>
      </w:pPr>
      <w:r>
        <w:rPr>
          <w:i/>
        </w:rPr>
        <w:t xml:space="preserve">База физлиц (п. 3): переносимость данных отдаёт клиентов кошелька конкурентам, но даёт право забирать клиентов у других банков; кто быстрее сделает интерфейс, тот заберёт больше.</w:t>
      </w:r>
    </w:p>
    <w:p>
      <w:pPr/>
      <w:r>
        <w:rPr>
          <w:i/>
        </w:rPr>
        <w:t xml:space="preserve">Вывод: ИТ ЮMoney остаётся поставщиком услуг (п. 7), но теперь с красной зоной ресурса. Выйти из неё можно только через эффект проектов, посчитанный в рублях, — на этом строятся гипотезы для ПР2 ниже.</w:t>
      </w:r>
    </w:p>
    <w:p>
      <w:pPr/>
      <w:r>
        <w:rPr>
          <w:i/>
        </w:rPr>
        <w:t xml:space="preserve">Оба сценария уже произошли, времени мало: выручка упала на треть, опекс режем на 25%, на интерфейс переносимости данных — 15 месяцев. Что делаем срочно — гипотезы для ПР2 в порядке приоритета (1–3 отвечают на проблему 3, 4–6 — на проблему 2; проблему 1 закрывает раздел про опекс ниже):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Интерфейс переносимости данных строим первым и на платформе ЮSoft. Это обязательное требование со штрафом, поэтому кредиторам подаём его как комплаенс — защищённая статья бюджета; заодно получаем API-слой, который продаётся партнёрам;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Запрашиваем чужие данные (с согласия клиента) и продаём карты и ЮBusiness тем, кто пользуется другими банками — новый источник выручки взамен упавшей; выигрывает тот, кто построит интерфейс раньше конкурентов;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Удерживаем базу физлиц до того, как клиент запросит выгрузку: встроенные предложения (кешбэк, подписки), потому что банки маркетплейсов смогут мгновенно предлагать условия по данным клиента;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ЮSoft (BaaS, запуск 09.2025): продаём встраивание сервисов ЮMoney в чужие продукты (маркетплейсы, МФО, страховые) — повторяющаяся выручка без затрат на привлечение клиентов (B2B2C);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Уходим от зависимости от одного сегмента: ≈ 89% комиссии — интернет-эквайринг при марже ≈ 29%; растим карты, ЮBusiness и офлайн (платёжные таблички СБП), любой прирост их доли снижает эту зависимость;</w:t>
      </w:r>
    </w:p>
    <w:p>
      <w:pPr>
        <w:pStyle w:val="ListParagraph"/>
        <w:numPr>
          <w:ilvl w:val="0"/>
          <w:numId w:val="3"/>
        </w:numPr>
      </w:pPr>
      <w:r>
        <w:rPr>
          <w:i/>
        </w:rPr>
        <w:t xml:space="preserve">Новые сегменты без больших затрат: карта для туристов из Китая (08.2026) и MCP-сервер для ИИ-агентов (09.2026) держим — на готовом API они почти ничего не стоят, а добавляют выручку сверх основного направления.</w:t>
      </w:r>
    </w:p>
    <w:p>
      <w:pPr/>
      <w:r>
        <w:rPr>
          <w:b/>
          <w:i/>
        </w:rPr>
        <w:t xml:space="preserve">Сценарий 67 уже идёт: как снизить опекс на 25% и не сломать план роста</w:t>
      </w:r>
    </w:p>
    <w:p>
      <w:pPr/>
      <w:r>
        <w:rPr>
          <w:i/>
        </w:rPr>
        <w:t xml:space="preserve">Условия банков: опекс −25% и согласование крупных расходов представителем кредиторов. Льготы (питлимит, оплачиваемые больничные, скидки) не трогаем: их отмену заметят все, а сильные специалисты и так получают чужие предложения. Режем то, чем пользуется меньшинство, и то, что не зарабатывает.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Малоиспользуемое закрываем: бесплатный английский (пользуются около 10%), внутренние соревнования (около 5%), мерч, часть help-систем (внутренние данные, А11). Экономия небольшая, но никто не теряет ни доход, ни статус.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Проекты без выручки и без связи с ядром закрываем или замораживаем — таблица ниже.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Поставщики, часть которых уже перешла на предоплату: критичных (платёжная инфраструктура, защита) оставляем даже при предоплате; консультантов и необязательные инструменты режем первыми.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Переменные расходы: комиссионные расходы (14,01 млрд при комиссионном доходе 19,77 млрд в 2023, А2) падают вместе с выручкой сами; 25% считаются от постоянных — штат, ИТ, офис, маркетинг.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Защищённая статья: интерфейс по сценарию 48 — обязательное требование со штрафом; кредиторам его представляем как комплаенс, а не как обычный ИТ-проект.</w:t>
      </w:r>
    </w:p>
    <w:p>
      <w:pPr>
        <w:pStyle w:val="ListParagraph"/>
        <w:numPr>
          <w:ilvl w:val="0"/>
          <w:numId w:val="4"/>
        </w:numPr>
      </w:pPr>
      <w:r>
        <w:rPr>
          <w:i/>
        </w:rPr>
        <w:t xml:space="preserve">Ключевых ИТ-специалистов удерживаем: льготы сохранены, на критичные роли (интерфейс по сценарию 48, ЮSoft) идёт приоритет в бюджете.</w:t>
      </w:r>
    </w:p>
    <w:p>
      <w:pPr/>
      <w:r>
        <w:rPr>
          <w:b/>
          <w:i/>
        </w:rPr>
        <w:t xml:space="preserve">Проекты ЮMoney: что закрыть и что держать</w:t>
      </w:r>
      <w:r>
        <w:t xml:space="preserve"> </w:t>
      </w:r>
      <w:r>
        <w:rPr>
          <w:i/>
        </w:rPr>
        <w:t xml:space="preserve">(по публичным новостям, </w:t>
      </w:r>
      <w:hyperlink r:id="rId20" w:history="1">
        <w:r>
          <w:rPr>
            <w:rStyle w:val="Hyperlink"/>
            <w:i/>
          </w:rPr>
          <w:t xml:space="preserve">5</w:t>
        </w:r>
      </w:hyperlink>
      <w:r>
        <w:rPr>
          <w:i/>
        </w:rPr>
        <w:t xml:space="preserve">; без P&amp;L проектов, А13)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rPr>
                <w:i/>
              </w:rPr>
              <w:t xml:space="preserve">Проект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rPr>
                <w:i/>
              </w:rPr>
              <w:t xml:space="preserve">Решение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rPr>
                <w:i/>
              </w:rPr>
              <w:t xml:space="preserve">Почему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ЮSoft (встроенный банкинг, интеграция в MOST)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держать, приоритет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тот же API-слой закрывает сценарий 48; повторяющаяся выручка от партнёров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MCP-сервер ЮKassa для ИИ-агентов (09.2026)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держать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поддержка почти ничего не стоит на готовом API; ранний выход в новый канал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ЮPay и китайская версия для туристов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держать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цифровой продукт без физических затрат; новый поток клиентов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Платёжные таблички СБП для офлайна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держать, пилот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уход от зависимости от онлайна (89% комиссии); ограничить тираж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Диспуты в ЮKassa, управление подписками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держать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снижают нагрузку на поддержку и удерживают магазины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Интерфейс по сценарию 48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обязательный проект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требование закона, штраф, срок 15 месяцев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Дизайн-карты ограниченных серий (светящиеся, «Змей Горыныч», леопард, чароит, «котики»)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закрыть, оставить 1–2 базовых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производство и дизайн без прямой выручки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Арт-стикеры (Pravsha.art) и мерч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закрыть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то же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Благотворительные карты, партнёрские программы (Vetland, InteRussia)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заморозить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не связаны с ядром; вернуть после восстановления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Экспресс-доставка карт через Самокат</w:t>
            </w:r>
            <w:r>
              <w:t xml:space="preserve"> 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за</w:t>
            </w:r>
            <w:r>
              <w:rPr>
                <w:i/>
              </w:rPr>
              <w:t xml:space="preserve">крыть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платится за каждую доставку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Пункты выдачи карт для туристов (Пулково, отели, пространство Сбера)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оставить один-два самых загруженных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часть замещается цифровой китайской версией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i/>
              </w:rPr>
              <w:t xml:space="preserve">Конференция ЮMoneyDay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сократить или сделать онлайн</w:t>
            </w:r>
          </w:p>
        </w:tc>
        <w:tc>
          <w:tcPr>
            <w:tcW w:w="3120" w:type="dxa"/>
          </w:tcPr>
          <w:p>
            <w:pPr/>
            <w:r>
              <w:rPr>
                <w:i/>
              </w:rPr>
              <w:t xml:space="preserve">найм в кризис заморожен, бренд работодателя менее срочен</w:t>
            </w:r>
          </w:p>
        </w:tc>
      </w:tr>
    </w:tbl>
    <w:p>
      <w:pPr/>
      <w:r>
        <w:rPr>
          <w:b/>
          <w:i/>
        </w:rPr>
        <w:t xml:space="preserve">Удалёнка для разработчиков.</w:t>
      </w:r>
      <w:r>
        <w:t xml:space="preserve"> </w:t>
      </w:r>
      <w:r>
        <w:rPr>
          <w:i/>
        </w:rPr>
        <w:t xml:space="preserve">Если закрыть офис под всех 456 ИТ-специалистов при 8 кв. м на человека (допущение, А12), это около 3,6 тыс. кв. м; ставка класса A в Санкт-Петербурге — 2 800 ₽ за кв. м в месяц с НДС и эксплуатацией (</w:t>
      </w:r>
      <w:hyperlink r:id="rId31" w:history="1">
        <w:r>
          <w:rPr>
            <w:rStyle w:val="Hyperlink"/>
            <w:i/>
          </w:rPr>
          <w:t xml:space="preserve">32</w:t>
        </w:r>
      </w:hyperlink>
      <w:r>
        <w:rPr>
          <w:i/>
        </w:rPr>
        <w:t xml:space="preserve">), то есть около 123 млн ₽ в год — около 0,45% выручки 2025 года. Реально меньше: нужен небольшой гибридный офис, платятся штрафы за досрочный выход из аренды, растут расходы на защищённый доступ (VPN, управляемые устройства — требования 821-П, </w:t>
      </w:r>
      <w:hyperlink r:id="rId30" w:history="1">
        <w:r>
          <w:rPr>
            <w:rStyle w:val="Hyperlink"/>
            <w:i/>
          </w:rPr>
          <w:t xml:space="preserve">30</w:t>
        </w:r>
      </w:hyperlink>
      <w:r>
        <w:rPr>
          <w:i/>
        </w:rPr>
        <w:t xml:space="preserve">). Итог: сама по себе не решает задачу, но выгодна — не урезает льготы и для разработчиков это плюс к удержанию; окупается, если аренда заканчивается в ближайшие 12 месяцев или офис можно сдать в субаренду.</w:t>
      </w:r>
    </w:p>
    <w:p>
      <w:pPr>
        <w:pStyle w:val="Heading2"/>
      </w:pPr>
      <w:r>
        <w:t xml:space="preserve">9. Реестр допущений</w:t>
      </w:r>
    </w:p>
    <w:p>
      <w:pPr/>
      <w:r>
        <w:t xml:space="preserve">Реестр живёт до ПР5 и пополняется в каждой работе. Строки с меткой «не найдено» — это открытые вопросы, а не оценки.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№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Цифра или утверждение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Откуда оценка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Уверенность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Как проверить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А1</w:t>
            </w:r>
          </w:p>
        </w:tc>
        <w:tc>
          <w:tcPr>
            <w:tcW w:w="1872" w:type="dxa"/>
          </w:tcPr>
          <w:p>
            <w:pPr/>
            <w:r>
              <w:t xml:space="preserve">Доли направлений 89% / 6% / 4%</w:t>
            </w:r>
          </w:p>
        </w:tc>
        <w:tc>
          <w:tcPr>
            <w:tcW w:w="1872" w:type="dxa"/>
          </w:tcPr>
          <w:p>
            <w:pPr/>
            <w:r>
              <w:t xml:space="preserve">расчёт по трём статьям РСБУ за I полугодие 2024; допущение, что «комиссии от интернет-магазинов» = ЮKassa; карты, ЮSoft, ЮBusiness в эти статьи не выделены</w:t>
            </w:r>
          </w:p>
        </w:tc>
        <w:tc>
          <w:tcPr>
            <w:tcW w:w="1872" w:type="dxa"/>
          </w:tcPr>
          <w:p>
            <w:pPr/>
            <w:r>
              <w:t xml:space="preserve">низкая</w:t>
            </w:r>
          </w:p>
        </w:tc>
        <w:tc>
          <w:tcPr>
            <w:tcW w:w="1872" w:type="dxa"/>
          </w:tcPr>
          <w:p>
            <w:pPr/>
            <w:r>
              <w:t xml:space="preserve">годовая РСБУ 2024–2025, интервью с финансами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А2</w:t>
            </w:r>
          </w:p>
        </w:tc>
        <w:tc>
          <w:tcPr>
            <w:tcW w:w="1872" w:type="dxa"/>
          </w:tcPr>
          <w:p>
            <w:pPr/>
            <w:r>
              <w:t xml:space="preserve">Маржа с комиссии ≈ 29%</w:t>
            </w:r>
          </w:p>
        </w:tc>
        <w:tc>
          <w:tcPr>
            <w:tcW w:w="1872" w:type="dxa"/>
          </w:tcPr>
          <w:p>
            <w:pPr/>
            <w:r>
              <w:t xml:space="preserve">расчёт (19,77 − 14,01) / 19,77 по РСБУ 2023; что входит в комиссионные расходы (банки-партнёры, платёжные сети), не раскрыто</w:t>
            </w:r>
          </w:p>
        </w:tc>
        <w:tc>
          <w:tcPr>
            <w:tcW w:w="1872" w:type="dxa"/>
          </w:tcPr>
          <w:p>
            <w:pPr/>
            <w:r>
              <w:t xml:space="preserve">средняя</w:t>
            </w:r>
          </w:p>
        </w:tc>
        <w:tc>
          <w:tcPr>
            <w:tcW w:w="1872" w:type="dxa"/>
          </w:tcPr>
          <w:p>
            <w:pPr/>
            <w:r>
              <w:t xml:space="preserve">пояснительная записка к отчётности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А3</w:t>
            </w:r>
          </w:p>
        </w:tc>
        <w:tc>
          <w:tcPr>
            <w:tcW w:w="1872" w:type="dxa"/>
          </w:tcPr>
          <w:p>
            <w:pPr/>
            <w:r>
              <w:t xml:space="preserve">Час простоя ≈ 3,1 млн ₽ выручки</w:t>
            </w:r>
          </w:p>
        </w:tc>
        <w:tc>
          <w:tcPr>
            <w:tcW w:w="1872" w:type="dxa"/>
          </w:tcPr>
          <w:p>
            <w:pPr/>
            <w:r>
              <w:t xml:space="preserve">расчёт: 27,55 млрд / 8760 ч; среднее, не пик; без потерь магазинов</w:t>
            </w:r>
          </w:p>
        </w:tc>
        <w:tc>
          <w:tcPr>
            <w:tcW w:w="1872" w:type="dxa"/>
          </w:tcPr>
          <w:p>
            <w:pPr/>
            <w:r>
              <w:t xml:space="preserve">средняя</w:t>
            </w:r>
          </w:p>
        </w:tc>
        <w:tc>
          <w:tcPr>
            <w:tcW w:w="1872" w:type="dxa"/>
          </w:tcPr>
          <w:p>
            <w:pPr/>
            <w:r>
              <w:t xml:space="preserve">графики нагрузки, интервью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А4</w:t>
            </w:r>
          </w:p>
        </w:tc>
        <w:tc>
          <w:tcPr>
            <w:tcW w:w="1872" w:type="dxa"/>
          </w:tcPr>
          <w:p>
            <w:pPr/>
            <w:r>
              <w:t xml:space="preserve">ЮKassa у 37,6% (2023) / 40% (2025) магазинов Рунета</w:t>
            </w:r>
          </w:p>
        </w:tc>
        <w:tc>
          <w:tcPr>
            <w:tcW w:w="1872" w:type="dxa"/>
          </w:tcPr>
          <w:p>
            <w:pPr/>
            <w:r>
              <w:t xml:space="preserve">самооценка компании, методика не раскрыта</w:t>
            </w:r>
          </w:p>
        </w:tc>
        <w:tc>
          <w:tcPr>
            <w:tcW w:w="1872" w:type="dxa"/>
          </w:tcPr>
          <w:p>
            <w:pPr/>
            <w:r>
              <w:t xml:space="preserve">низкая–средняя</w:t>
            </w:r>
          </w:p>
        </w:tc>
        <w:tc>
          <w:tcPr>
            <w:tcW w:w="1872" w:type="dxa"/>
          </w:tcPr>
          <w:p>
            <w:pPr/>
            <w:r>
              <w:t xml:space="preserve">сторонние исследования рынка эквайринга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А5</w:t>
            </w:r>
          </w:p>
        </w:tc>
        <w:tc>
          <w:tcPr>
            <w:tcW w:w="1872" w:type="dxa"/>
          </w:tcPr>
          <w:p>
            <w:pPr/>
            <w:r>
              <w:t xml:space="preserve">160 тыс. и 266+ тыс. площадок</w:t>
            </w:r>
          </w:p>
        </w:tc>
        <w:tc>
          <w:tcPr>
            <w:tcW w:w="1872" w:type="dxa"/>
          </w:tcPr>
          <w:p>
            <w:pPr/>
            <w:r>
              <w:t xml:space="preserve">расходящиеся заявления разных лет; в расчётах не используются</w:t>
            </w:r>
          </w:p>
        </w:tc>
        <w:tc>
          <w:tcPr>
            <w:tcW w:w="1872" w:type="dxa"/>
          </w:tcPr>
          <w:p>
            <w:pPr/>
            <w:r>
              <w:t xml:space="preserve">низкая</w:t>
            </w:r>
          </w:p>
        </w:tc>
        <w:tc>
          <w:tcPr>
            <w:tcW w:w="1872" w:type="dxa"/>
          </w:tcPr>
          <w:p>
            <w:pPr/>
            <w:r>
              <w:t xml:space="preserve">уточнить определение «площадки»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А6</w:t>
            </w:r>
          </w:p>
        </w:tc>
        <w:tc>
          <w:tcPr>
            <w:tcW w:w="1872" w:type="dxa"/>
          </w:tcPr>
          <w:p>
            <w:pPr/>
            <w:r>
              <w:t xml:space="preserve">Около 100 млн кошельков</w:t>
            </w:r>
          </w:p>
        </w:tc>
        <w:tc>
          <w:tcPr>
            <w:tcW w:w="1872" w:type="dxa"/>
          </w:tcPr>
          <w:p>
            <w:pPr/>
            <w:r>
              <w:t xml:space="preserve">зарегистрированных, не активных; активная база не найдена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запрос к компании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А7</w:t>
            </w:r>
          </w:p>
        </w:tc>
        <w:tc>
          <w:tcPr>
            <w:tcW w:w="1872" w:type="dxa"/>
          </w:tcPr>
          <w:p>
            <w:pPr/>
            <w:r>
              <w:t xml:space="preserve">Владельцы почты, мессенджера, телефонии, видеосвязи, VPN, копий</w:t>
            </w:r>
          </w:p>
        </w:tc>
        <w:tc>
          <w:tcPr>
            <w:tcW w:w="1872" w:type="dxa"/>
          </w:tcPr>
          <w:p>
            <w:pPr/>
            <w:r>
              <w:t xml:space="preserve">не найдено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интервью с ИТ и ИБ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А8</w:t>
            </w:r>
          </w:p>
        </w:tc>
        <w:tc>
          <w:tcPr>
            <w:tcW w:w="1872" w:type="dxa"/>
          </w:tcPr>
          <w:p>
            <w:pPr/>
            <w:r>
              <w:t xml:space="preserve">Инцидент 2024 (CORS)</w:t>
            </w:r>
          </w:p>
        </w:tc>
        <w:tc>
          <w:tcPr>
            <w:tcW w:w="1872" w:type="dxa"/>
          </w:tcPr>
          <w:p>
            <w:pPr/>
            <w:r>
              <w:t xml:space="preserve">всё со слов исследователя на Хабре</w:t>
            </w:r>
          </w:p>
        </w:tc>
        <w:tc>
          <w:tcPr>
            <w:tcW w:w="1872" w:type="dxa"/>
          </w:tcPr>
          <w:p>
            <w:pPr/>
            <w:r>
              <w:t xml:space="preserve">низкая</w:t>
            </w:r>
          </w:p>
        </w:tc>
        <w:tc>
          <w:tcPr>
            <w:tcW w:w="1872" w:type="dxa"/>
          </w:tcPr>
          <w:p>
            <w:pPr/>
            <w:r>
              <w:t xml:space="preserve">официальный ответ компании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А9</w:t>
            </w:r>
          </w:p>
        </w:tc>
        <w:tc>
          <w:tcPr>
            <w:tcW w:w="1872" w:type="dxa"/>
          </w:tcPr>
          <w:p>
            <w:pPr/>
            <w:r>
              <w:t xml:space="preserve">Чистая прибыль 2024–2025, выручка по направлениям, бюджет ИТ и ИБ</w:t>
            </w:r>
          </w:p>
        </w:tc>
        <w:tc>
          <w:tcPr>
            <w:tcW w:w="1872" w:type="dxa"/>
          </w:tcPr>
          <w:p>
            <w:pPr/>
            <w:r>
              <w:t xml:space="preserve">не найдено</w:t>
            </w:r>
          </w:p>
        </w:tc>
        <w:tc>
          <w:tcPr>
            <w:tcW w:w="1872" w:type="dxa"/>
          </w:tcPr>
          <w:p>
            <w:pPr/>
            <w:r>
              <w:t xml:space="preserve">—</w:t>
            </w:r>
          </w:p>
        </w:tc>
        <w:tc>
          <w:tcPr>
            <w:tcW w:w="1872" w:type="dxa"/>
          </w:tcPr>
          <w:p>
            <w:pPr/>
            <w:r>
              <w:t xml:space="preserve">публикуемая отчётность, Интерфакс, интервью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А10</w:t>
            </w:r>
          </w:p>
        </w:tc>
        <w:tc>
          <w:tcPr>
            <w:tcW w:w="1872" w:type="dxa"/>
          </w:tcPr>
          <w:p>
            <w:pPr/>
            <w:r>
              <w:t xml:space="preserve">«Около 13% выручки топ-100» на странице ЮMoney</w:t>
            </w:r>
          </w:p>
        </w:tc>
        <w:tc>
          <w:tcPr>
            <w:tcW w:w="1872" w:type="dxa"/>
          </w:tcPr>
          <w:p>
            <w:pPr/>
            <w:r>
              <w:t xml:space="preserve">не сходится с расчётом 27,55 / 282,723 = 9,7%; использую расчёт (</w:t>
            </w:r>
            <w:hyperlink r:id="rId5" w:history="1">
              <w:r>
                <w:rPr>
                  <w:rStyle w:val="Hyperlink"/>
                </w:rPr>
                <w:t xml:space="preserve">11</w:t>
              </w:r>
            </w:hyperlink>
            <w:r>
              <w:t xml:space="preserve">, </w:t>
            </w:r>
            <w:hyperlink r:id="rId6" w:history="1">
              <w:r>
                <w:rPr>
                  <w:rStyle w:val="Hyperlink"/>
                </w:rPr>
                <w:t xml:space="preserve">1</w:t>
              </w:r>
            </w:hyperlink>
            <w:r>
              <w:t xml:space="preserve">)</w:t>
            </w:r>
          </w:p>
        </w:tc>
        <w:tc>
          <w:tcPr>
            <w:tcW w:w="1872" w:type="dxa"/>
          </w:tcPr>
          <w:p>
            <w:pPr/>
            <w:r>
              <w:t xml:space="preserve">средняя</w:t>
            </w:r>
          </w:p>
        </w:tc>
        <w:tc>
          <w:tcPr>
            <w:tcW w:w="1872" w:type="dxa"/>
          </w:tcPr>
          <w:p>
            <w:pPr/>
            <w:r>
              <w:t xml:space="preserve">методика Smart Ranking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i/>
              </w:rPr>
              <w:t xml:space="preserve">А11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Английским пользуются ≈10%, внутренними соревнованиями ≈5%; питлимит ≈10 тыс. ₽/мес на человека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внутренние данные со слов сотрудника; отчётность их не публикует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средняя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данные HR и бухгалтерии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i/>
              </w:rPr>
              <w:t xml:space="preserve">А12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8 кв. м на ИТ-специалиста; все 456 в одном офисе класса A в Санкт-Петербурге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допущение; ставка рынка из источника 32, реальные площади и договоры аренды неизвестны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низкая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договоры аренды, план офиса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i/>
              </w:rPr>
              <w:t xml:space="preserve">А13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Решения «закрыть / держать» по проектам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по публичным новостям (источник 5); затраты и выручка проектов не раскрыты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низкая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бизнес-кейсы и P&amp;L проектов</w:t>
            </w:r>
          </w:p>
        </w:tc>
      </w:tr>
      <w:tr>
        <w:tc>
          <w:tcPr>
            <w:tcW w:w="1872" w:type="dxa"/>
          </w:tcPr>
          <w:p>
            <w:pPr/>
            <w:r>
              <w:rPr>
                <w:i/>
              </w:rPr>
              <w:t xml:space="preserve">А14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Выручка упала «примерно на треть»: 27,55 × 2/3 ≈ 18,4 млрд ₽ в годовом выражении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расчёт по формулировке сценария 67 и выручке 2025 (источники 1, 11); реальная динамика по месяцам и структура неизвестны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средняя–низкая</w:t>
            </w:r>
          </w:p>
        </w:tc>
        <w:tc>
          <w:tcPr>
            <w:tcW w:w="1872" w:type="dxa"/>
          </w:tcPr>
          <w:p>
            <w:pPr/>
            <w:r>
              <w:rPr>
                <w:i/>
              </w:rPr>
              <w:t xml:space="preserve">управленческая отчётность, план реструктуризации с банками</w:t>
            </w:r>
          </w:p>
        </w:tc>
      </w:tr>
    </w:tbl>
    <w:p>
      <w:pPr>
        <w:pStyle w:val="Heading2"/>
      </w:pPr>
      <w:r>
        <w:t xml:space="preserve">Ответы на вопросы самопроверки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Какую цифру не нашёл.</w:t>
      </w:r>
      <w:r>
        <w:t xml:space="preserve"> Чистую прибыль 2024–2025 годов, выручку по направлениям (ЮKassa отдельно от остального), бюджет ИТ и ИБ, число активных клиентов. 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Кто отвечает за связь и безопасность.</w:t>
      </w:r>
      <w:r>
        <w:t xml:space="preserve"> Безопасность держит отдел ИБ — штатное подразделение (закупка защиты рабочих мест через X-Com, </w:t>
      </w:r>
      <w:hyperlink r:id="rId26" w:history="1">
        <w:r>
          <w:rPr>
            <w:rStyle w:val="Hyperlink"/>
          </w:rPr>
          <w:t xml:space="preserve">16</w:t>
        </w:r>
      </w:hyperlink>
      <w:r>
        <w:t xml:space="preserve">). Кто именно держит почту, мессенджер, телефонию, VPN и резервные копии — не установил по открытым источникам, помечено в реестре допущений (№12).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В каком состоянии ИТ и какой признак убедил.</w:t>
      </w:r>
      <w:r>
        <w:t xml:space="preserve"> Поставщик услуг — методом исключения: ИТ владеет продуктами (не служба), но нигде не раскрыт эффект инициатив и нет стратега при собственнике (не партнёр). Подтверждает и внешняя подотчётность: регулятор задаёт измеримые требования к защите (</w:t>
      </w:r>
      <w:hyperlink r:id="rId26" w:history="1">
        <w:r>
          <w:rPr>
            <w:rStyle w:val="Hyperlink"/>
          </w:rPr>
          <w:t xml:space="preserve">16</w:t>
        </w:r>
      </w:hyperlink>
      <w:r>
        <w:t xml:space="preserve">), клиенты ЮKassa держат сервис на доступности.</w:t>
      </w:r>
    </w:p>
    <w:p>
      <w:pPr>
        <w:pStyle w:val="Heading2"/>
      </w:pPr>
      <w:r>
        <w:t xml:space="preserve">Список источников</w:t>
      </w:r>
    </w:p>
    <w:p>
      <w:pPr/>
      <w:r>
        <w:t xml:space="preserve">Все страницы открывались 21.09.2026; номера совпадают с ссылками в тексте.</w:t>
      </w:r>
    </w:p>
    <w:p>
      <w:pPr>
        <w:pStyle w:val="ListParagraph"/>
        <w:numPr>
          <w:ilvl w:val="0"/>
          <w:numId w:val="6"/>
        </w:numPr>
      </w:pPr>
      <w:hyperlink r:id="rId6" w:history="1">
        <w:r>
          <w:rPr>
            <w:rStyle w:val="Hyperlink"/>
          </w:rPr>
          <w:t xml:space="preserve">Smart Ranking: «Российский fintech-сектор вырос на 15% за 2025 год»</w:t>
        </w:r>
      </w:hyperlink>
    </w:p>
    <w:p>
      <w:pPr>
        <w:pStyle w:val="ListParagraph"/>
        <w:numPr>
          <w:ilvl w:val="0"/>
          <w:numId w:val="6"/>
        </w:numPr>
      </w:pPr>
      <w:hyperlink r:id="rId7" w:history="1">
        <w:r>
          <w:rPr>
            <w:rStyle w:val="Hyperlink"/>
          </w:rPr>
          <w:t xml:space="preserve">ЮMoney: лидер финтеха по выручке за I полугодие 2025</w:t>
        </w:r>
      </w:hyperlink>
    </w:p>
    <w:p>
      <w:pPr>
        <w:pStyle w:val="ListParagraph"/>
        <w:numPr>
          <w:ilvl w:val="0"/>
          <w:numId w:val="6"/>
        </w:numPr>
      </w:pPr>
      <w:hyperlink r:id="rId12" w:history="1">
        <w:r>
          <w:rPr>
            <w:rStyle w:val="Hyperlink"/>
          </w:rPr>
          <w:t xml:space="preserve">ЮMoney: лидер финтеха по выручке за I квартал 2025</w:t>
        </w:r>
      </w:hyperlink>
    </w:p>
    <w:p>
      <w:pPr>
        <w:pStyle w:val="ListParagraph"/>
        <w:numPr>
          <w:ilvl w:val="0"/>
          <w:numId w:val="6"/>
        </w:numPr>
      </w:pPr>
      <w:hyperlink r:id="rId13" w:history="1">
        <w:r>
          <w:rPr>
            <w:rStyle w:val="Hyperlink"/>
          </w:rPr>
          <w:t xml:space="preserve">Коммерсантъ: темпы роста российского финтеха в I полугодии 2026</w:t>
        </w:r>
      </w:hyperlink>
    </w:p>
    <w:p>
      <w:pPr>
        <w:pStyle w:val="ListParagraph"/>
        <w:numPr>
          <w:ilvl w:val="0"/>
          <w:numId w:val="6"/>
        </w:numPr>
      </w:pPr>
      <w:hyperlink r:id="rId20" w:history="1">
        <w:r>
          <w:rPr>
            <w:rStyle w:val="Hyperlink"/>
          </w:rPr>
          <w:t xml:space="preserve">ЮMoney: новости 2026</w:t>
        </w:r>
      </w:hyperlink>
    </w:p>
    <w:p>
      <w:pPr>
        <w:pStyle w:val="ListParagraph"/>
        <w:numPr>
          <w:ilvl w:val="0"/>
          <w:numId w:val="6"/>
        </w:numPr>
      </w:pPr>
      <w:hyperlink r:id="rId10" w:history="1">
        <w:r>
          <w:rPr>
            <w:rStyle w:val="Hyperlink"/>
          </w:rPr>
          <w:t xml:space="preserve">Интерфакс: ЮMoney, РСБУ за 2023 год</w:t>
        </w:r>
      </w:hyperlink>
    </w:p>
    <w:p>
      <w:pPr>
        <w:pStyle w:val="ListParagraph"/>
        <w:numPr>
          <w:ilvl w:val="0"/>
          <w:numId w:val="6"/>
        </w:numPr>
      </w:pPr>
      <w:hyperlink r:id="rId9" w:history="1">
        <w:r>
          <w:rPr>
            <w:rStyle w:val="Hyperlink"/>
          </w:rPr>
          <w:t xml:space="preserve">Интерфакс: ЮMoney, РСБУ за I полугодие 2024</w:t>
        </w:r>
      </w:hyperlink>
    </w:p>
    <w:p>
      <w:pPr>
        <w:pStyle w:val="ListParagraph"/>
        <w:numPr>
          <w:ilvl w:val="0"/>
          <w:numId w:val="6"/>
        </w:numPr>
      </w:pPr>
      <w:hyperlink r:id="rId11" w:history="1">
        <w:r>
          <w:rPr>
            <w:rStyle w:val="Hyperlink"/>
          </w:rPr>
          <w:t xml:space="preserve">ProFinansy (по Интерфаксу): ЮMoney, РСБУ за 2022 год</w:t>
        </w:r>
      </w:hyperlink>
    </w:p>
    <w:p>
      <w:pPr>
        <w:pStyle w:val="ListParagraph"/>
        <w:numPr>
          <w:ilvl w:val="0"/>
          <w:numId w:val="6"/>
        </w:numPr>
      </w:pPr>
      <w:hyperlink r:id="rId3" w:history="1">
        <w:r>
          <w:rPr>
            <w:rStyle w:val="Hyperlink"/>
          </w:rPr>
          <w:t xml:space="preserve">Банк России: справка об ООО НКО «ЮМани»</w:t>
        </w:r>
      </w:hyperlink>
    </w:p>
    <w:p>
      <w:pPr>
        <w:pStyle w:val="ListParagraph"/>
        <w:numPr>
          <w:ilvl w:val="0"/>
          <w:numId w:val="6"/>
        </w:numPr>
      </w:pPr>
      <w:hyperlink r:id="rId4" w:history="1">
        <w:r>
          <w:rPr>
            <w:rStyle w:val="Hyperlink"/>
          </w:rPr>
          <w:t xml:space="preserve">РБК: Сбербанк стал единственным владельцем «Яндекс.Денег» (2020)</w:t>
        </w:r>
      </w:hyperlink>
    </w:p>
    <w:p>
      <w:pPr>
        <w:pStyle w:val="ListParagraph"/>
        <w:numPr>
          <w:ilvl w:val="0"/>
          <w:numId w:val="6"/>
        </w:numPr>
      </w:pPr>
      <w:hyperlink r:id="rId5" w:history="1">
        <w:r>
          <w:rPr>
            <w:rStyle w:val="Hyperlink"/>
          </w:rPr>
          <w:t xml:space="preserve">ЮMoney: страница о компании</w:t>
        </w:r>
      </w:hyperlink>
    </w:p>
    <w:p>
      <w:pPr>
        <w:pStyle w:val="ListParagraph"/>
        <w:numPr>
          <w:ilvl w:val="0"/>
          <w:numId w:val="6"/>
        </w:numPr>
      </w:pPr>
      <w:hyperlink r:id="rId17" w:history="1">
        <w:r>
          <w:rPr>
            <w:rStyle w:val="Hyperlink"/>
          </w:rPr>
          <w:t xml:space="preserve">Хабр: «Who are «Ю»», ЮMoney о себе (2023)</w:t>
        </w:r>
      </w:hyperlink>
    </w:p>
    <w:p>
      <w:pPr>
        <w:pStyle w:val="ListParagraph"/>
        <w:numPr>
          <w:ilvl w:val="0"/>
          <w:numId w:val="6"/>
        </w:numPr>
      </w:pPr>
      <w:hyperlink r:id="rId19" w:history="1">
        <w:r>
          <w:rPr>
            <w:rStyle w:val="Hyperlink"/>
          </w:rPr>
          <w:t xml:space="preserve">Хабр: профиль компании ЮMoney</w:t>
        </w:r>
      </w:hyperlink>
    </w:p>
    <w:p>
      <w:pPr>
        <w:pStyle w:val="ListParagraph"/>
        <w:numPr>
          <w:ilvl w:val="0"/>
          <w:numId w:val="6"/>
        </w:numPr>
      </w:pPr>
      <w:hyperlink r:id="rId16" w:history="1">
        <w:r>
          <w:rPr>
            <w:rStyle w:val="Hyperlink"/>
          </w:rPr>
          <w:t xml:space="preserve">hh.ru: ЮMoney — работодатель и вакансии</w:t>
        </w:r>
      </w:hyperlink>
    </w:p>
    <w:p>
      <w:pPr>
        <w:pStyle w:val="ListParagraph"/>
        <w:numPr>
          <w:ilvl w:val="0"/>
          <w:numId w:val="6"/>
        </w:numPr>
      </w:pPr>
      <w:hyperlink r:id="rId32" w:history="1">
        <w:r>
          <w:rPr>
            <w:rStyle w:val="Hyperlink"/>
          </w:rPr>
          <w:t xml:space="preserve">Хабр Карьера: компания ЮMoney</w:t>
        </w:r>
      </w:hyperlink>
    </w:p>
    <w:p>
      <w:pPr>
        <w:pStyle w:val="ListParagraph"/>
        <w:numPr>
          <w:ilvl w:val="0"/>
          <w:numId w:val="6"/>
        </w:numPr>
      </w:pPr>
      <w:hyperlink r:id="rId26" w:history="1">
        <w:r>
          <w:rPr>
            <w:rStyle w:val="Hyperlink"/>
          </w:rPr>
          <w:t xml:space="preserve">CNews: X-Com поставила Dr.Web для защиты рабочих мест в «ЮMoney» (02.09.2026)</w:t>
        </w:r>
      </w:hyperlink>
    </w:p>
    <w:p>
      <w:pPr>
        <w:pStyle w:val="ListParagraph"/>
        <w:numPr>
          <w:ilvl w:val="0"/>
          <w:numId w:val="6"/>
        </w:numPr>
      </w:pPr>
      <w:hyperlink r:id="rId27" w:history="1">
        <w:r>
          <w:rPr>
            <w:rStyle w:val="Hyperlink"/>
          </w:rPr>
          <w:t xml:space="preserve">CISOCLUB: ЮMoney защитила более 1000 рабочих мест с Dr.Web</w:t>
        </w:r>
      </w:hyperlink>
    </w:p>
    <w:p>
      <w:pPr>
        <w:pStyle w:val="ListParagraph"/>
        <w:numPr>
          <w:ilvl w:val="0"/>
          <w:numId w:val="6"/>
        </w:numPr>
      </w:pPr>
      <w:hyperlink r:id="rId28" w:history="1">
        <w:r>
          <w:rPr>
            <w:rStyle w:val="Hyperlink"/>
          </w:rPr>
          <w:t xml:space="preserve">Хабр: «Как я обнаружил проблемы у ЮМани с безопасностью» (2024)</w:t>
        </w:r>
      </w:hyperlink>
    </w:p>
    <w:p>
      <w:pPr>
        <w:pStyle w:val="ListParagraph"/>
        <w:numPr>
          <w:ilvl w:val="0"/>
          <w:numId w:val="6"/>
        </w:numPr>
      </w:pPr>
      <w:hyperlink r:id="rId25" w:history="1">
        <w:r>
          <w:rPr>
            <w:rStyle w:val="Hyperlink"/>
          </w:rPr>
          <w:t xml:space="preserve">Хабр: сбой «ЮMoney» и «ЮКасса» 17.02.2023</w:t>
        </w:r>
      </w:hyperlink>
    </w:p>
    <w:p>
      <w:pPr>
        <w:pStyle w:val="ListParagraph"/>
        <w:numPr>
          <w:ilvl w:val="0"/>
          <w:numId w:val="6"/>
        </w:numPr>
      </w:pPr>
      <w:hyperlink r:id="rId29" w:history="1">
        <w:r>
          <w:rPr>
            <w:rStyle w:val="Hyperlink"/>
          </w:rPr>
          <w:t xml:space="preserve">Хабр: ЦБ ограничил работу ЮMoney (2021)</w:t>
        </w:r>
      </w:hyperlink>
    </w:p>
    <w:p>
      <w:pPr>
        <w:pStyle w:val="ListParagraph"/>
        <w:numPr>
          <w:ilvl w:val="0"/>
          <w:numId w:val="6"/>
        </w:numPr>
      </w:pPr>
      <w:hyperlink r:id="rId18" w:history="1">
        <w:r>
          <w:rPr>
            <w:rStyle w:val="Hyperlink"/>
          </w:rPr>
          <w:t xml:space="preserve">CNews: справка «Сбер — ЮMoney»</w:t>
        </w:r>
      </w:hyperlink>
    </w:p>
    <w:p>
      <w:pPr>
        <w:pStyle w:val="ListParagraph"/>
        <w:numPr>
          <w:ilvl w:val="0"/>
          <w:numId w:val="6"/>
        </w:numPr>
      </w:pPr>
      <w:hyperlink r:id="rId8" w:history="1">
        <w:r>
          <w:rPr>
            <w:rStyle w:val="Hyperlink"/>
          </w:rPr>
          <w:t xml:space="preserve">Ведомости: Иван Глазачев, генеральный директор ЮMoney</w:t>
        </w:r>
      </w:hyperlink>
    </w:p>
    <w:p>
      <w:pPr>
        <w:pStyle w:val="ListParagraph"/>
        <w:numPr>
          <w:ilvl w:val="0"/>
          <w:numId w:val="6"/>
        </w:numPr>
      </w:pPr>
      <w:hyperlink r:id="rId15" w:history="1">
        <w:r>
          <w:rPr>
            <w:rStyle w:val="Hyperlink"/>
          </w:rPr>
          <w:t xml:space="preserve">CNews: «ЮMoney» запустила BaaS-платформу «ЮSoft» (25.09.2025)</w:t>
        </w:r>
      </w:hyperlink>
    </w:p>
    <w:p>
      <w:pPr>
        <w:pStyle w:val="ListParagraph"/>
        <w:numPr>
          <w:ilvl w:val="0"/>
          <w:numId w:val="6"/>
        </w:numPr>
      </w:pPr>
      <w:hyperlink r:id="rId21" w:history="1">
        <w:r>
          <w:rPr>
            <w:rStyle w:val="Hyperlink"/>
          </w:rPr>
          <w:t xml:space="preserve">Хабр: Banking-as-a-Service на практике (ЮMoney)</w:t>
        </w:r>
      </w:hyperlink>
    </w:p>
    <w:p>
      <w:pPr>
        <w:pStyle w:val="ListParagraph"/>
        <w:numPr>
          <w:ilvl w:val="0"/>
          <w:numId w:val="6"/>
        </w:numPr>
      </w:pPr>
      <w:hyperlink r:id="rId14" w:history="1">
        <w:r>
          <w:rPr>
            <w:rStyle w:val="Hyperlink"/>
          </w:rPr>
          <w:t xml:space="preserve">ЮKassa: о компании</w:t>
        </w:r>
      </w:hyperlink>
    </w:p>
    <w:p>
      <w:pPr>
        <w:pStyle w:val="ListParagraph"/>
        <w:numPr>
          <w:ilvl w:val="0"/>
          <w:numId w:val="6"/>
        </w:numPr>
      </w:pPr>
      <w:hyperlink r:id="rId22" w:history="1">
        <w:r>
          <w:rPr>
            <w:rStyle w:val="Hyperlink"/>
          </w:rPr>
          <w:t xml:space="preserve">НСПК: НКО ЮМани — участник СБП</w:t>
        </w:r>
      </w:hyperlink>
    </w:p>
    <w:p>
      <w:pPr>
        <w:pStyle w:val="ListParagraph"/>
        <w:numPr>
          <w:ilvl w:val="0"/>
          <w:numId w:val="6"/>
        </w:numPr>
      </w:pPr>
      <w:hyperlink r:id="rId23" w:history="1">
        <w:r>
          <w:rPr>
            <w:rStyle w:val="Hyperlink"/>
          </w:rPr>
          <w:t xml:space="preserve">Хабр: банки маркетплейсов захватили 40% рынка электронных денег (2024)</w:t>
        </w:r>
      </w:hyperlink>
    </w:p>
    <w:p>
      <w:pPr>
        <w:pStyle w:val="ListParagraph"/>
        <w:numPr>
          <w:ilvl w:val="0"/>
          <w:numId w:val="6"/>
        </w:numPr>
      </w:pPr>
      <w:hyperlink r:id="rId33" w:history="1">
        <w:r>
          <w:rPr>
            <w:rStyle w:val="Hyperlink"/>
          </w:rPr>
          <w:t xml:space="preserve">КонсультантПлюс: персональные данные, новые штрафы с 30.05.2025</w:t>
        </w:r>
      </w:hyperlink>
    </w:p>
    <w:p>
      <w:pPr>
        <w:pStyle w:val="ListParagraph"/>
        <w:numPr>
          <w:ilvl w:val="0"/>
          <w:numId w:val="6"/>
        </w:numPr>
      </w:pPr>
      <w:hyperlink r:id="rId34" w:history="1">
        <w:r>
          <w:rPr>
            <w:rStyle w:val="Hyperlink"/>
          </w:rPr>
          <w:t xml:space="preserve">ITGlobal: Указ Президента №250, на кого распространяется</w:t>
        </w:r>
      </w:hyperlink>
    </w:p>
    <w:p>
      <w:pPr>
        <w:pStyle w:val="ListParagraph"/>
        <w:numPr>
          <w:ilvl w:val="0"/>
          <w:numId w:val="6"/>
        </w:numPr>
      </w:pPr>
      <w:hyperlink r:id="rId30" w:history="1">
        <w:r>
          <w:rPr>
            <w:rStyle w:val="Hyperlink"/>
          </w:rPr>
          <w:t xml:space="preserve">Гарант: Положение Банка России №821-П</w:t>
        </w:r>
      </w:hyperlink>
    </w:p>
    <w:p>
      <w:pPr>
        <w:pStyle w:val="ListParagraph"/>
        <w:numPr>
          <w:ilvl w:val="0"/>
          <w:numId w:val="6"/>
        </w:numPr>
      </w:pPr>
      <w:hyperlink r:id="rId24" w:history="1">
        <w:r>
          <w:rPr>
            <w:rStyle w:val="Hyperlink"/>
          </w:rPr>
          <w:t xml:space="preserve">ЮKassa: защита платежей</w:t>
        </w:r>
      </w:hyperlink>
    </w:p>
    <w:p>
      <w:pPr>
        <w:pStyle w:val="ListParagraph"/>
        <w:numPr>
          <w:ilvl w:val="0"/>
          <w:numId w:val="6"/>
        </w:numPr>
      </w:pPr>
      <w:hyperlink r:id="rId31" w:history="1">
        <w:r>
          <w:rPr>
            <w:rStyle w:val="Hyperlink"/>
            <w:i/>
          </w:rPr>
          <w:t xml:space="preserve">Bright Rich | CORFAC: ставки аренды офисов Санкт-Петербурга, I кв. 2026</w:t>
        </w:r>
      </w:hyperlink>
    </w:p>
    <w:p>
      <w:pPr/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cbr.ru/finorg/foinfo/?ogrn=1127711000031" TargetMode="External"/><Relationship Id="rId4" Type="http://schemas.openxmlformats.org/officeDocument/2006/relationships/hyperlink" Target="https://www.rbc.ru/technology_and_media/22/07/2020/5f17b21b9a794799cc40de63" TargetMode="External"/><Relationship Id="rId5" Type="http://schemas.openxmlformats.org/officeDocument/2006/relationships/hyperlink" Target="https://yoomoney.ru/page?id=524407" TargetMode="External"/><Relationship Id="rId6" Type="http://schemas.openxmlformats.org/officeDocument/2006/relationships/hyperlink" Target="https://smartranking.ru/ru/analytics/fintech/rossijskij-fintech-sektor-vyros-na-15-za-2025-god/" TargetMode="External"/><Relationship Id="rId7" Type="http://schemas.openxmlformats.org/officeDocument/2006/relationships/hyperlink" Target="https://yoomoney.ru/document/yoomoney-lider-rusfintecha-2025" TargetMode="External"/><Relationship Id="rId8" Type="http://schemas.openxmlformats.org/officeDocument/2006/relationships/hyperlink" Target="https://events.vedomosti.ru/speakers/glazachev-ivan-10724" TargetMode="External"/><Relationship Id="rId9" Type="http://schemas.openxmlformats.org/officeDocument/2006/relationships/hyperlink" Target="https://www.interfax.ru/business/974807" TargetMode="External"/><Relationship Id="rId10" Type="http://schemas.openxmlformats.org/officeDocument/2006/relationships/hyperlink" Target="https://www.interfax.ru/business/953428" TargetMode="External"/><Relationship Id="rId11" Type="http://schemas.openxmlformats.org/officeDocument/2006/relationships/hyperlink" Target="https://lenta.profinansy.ru/news/1759222" TargetMode="External"/><Relationship Id="rId12" Type="http://schemas.openxmlformats.org/officeDocument/2006/relationships/hyperlink" Target="https://yoomoney.ru/document/yoomoney-lider-rossiieskogo-fintexa-po-viruchke-za-perviie-kvartal-2025-goda" TargetMode="External"/><Relationship Id="rId13" Type="http://schemas.openxmlformats.org/officeDocument/2006/relationships/hyperlink" Target="https://www.kommersant.ru/doc/8921055" TargetMode="External"/><Relationship Id="rId14" Type="http://schemas.openxmlformats.org/officeDocument/2006/relationships/hyperlink" Target="https://yookassa.ru/about/" TargetMode="External"/><Relationship Id="rId15" Type="http://schemas.openxmlformats.org/officeDocument/2006/relationships/hyperlink" Target="https://www.cnews.ru/news/line/2025-09-25_yumoney_zapustila_baas-platformu" TargetMode="External"/><Relationship Id="rId16" Type="http://schemas.openxmlformats.org/officeDocument/2006/relationships/hyperlink" Target="https://hh.ru/employer/655542" TargetMode="External"/><Relationship Id="rId17" Type="http://schemas.openxmlformats.org/officeDocument/2006/relationships/hyperlink" Target="https://habr.com/ru/companies/yoomoney/articles/717462/" TargetMode="External"/><Relationship Id="rId18" Type="http://schemas.openxmlformats.org/officeDocument/2006/relationships/hyperlink" Target="https://www.cnews.ru/book/%D0%A1%D0%B1%D0%B5%D1%80_-_%D0%AEMoney_-_%D0%AE%D0%9C%D0%B0%D0%BD%D0%B8_%D0%9D%D0%9A%D0%9E_-_%D1%80%D0%B0%D0%BD%D0%B5%D0%B5_%D0%AF%D0%BD%D0%B4%D0%B5%D0%BA%D1%81_%D0%94%D0%B5%D0%BD%D1%8C%D0%B3%D0%B8_-_Yandex_Money" TargetMode="External"/><Relationship Id="rId19" Type="http://schemas.openxmlformats.org/officeDocument/2006/relationships/hyperlink" Target="https://habr.com/en/companies/yoomoney/profile/" TargetMode="External"/><Relationship Id="rId20" Type="http://schemas.openxmlformats.org/officeDocument/2006/relationships/hyperlink" Target="https://yoomoney.ru/document/news" TargetMode="External"/><Relationship Id="rId21" Type="http://schemas.openxmlformats.org/officeDocument/2006/relationships/hyperlink" Target="https://habr.com/ru/companies/yoomoney/articles/950470/" TargetMode="External"/><Relationship Id="rId22" Type="http://schemas.openxmlformats.org/officeDocument/2006/relationships/hyperlink" Target="https://sbp.nspk.ru/participants/11475f7a-5d4f-4f9b-984f-c16d1b019c2f" TargetMode="External"/><Relationship Id="rId23" Type="http://schemas.openxmlformats.org/officeDocument/2006/relationships/hyperlink" Target="https://habr.com/ru/news/851328" TargetMode="External"/><Relationship Id="rId24" Type="http://schemas.openxmlformats.org/officeDocument/2006/relationships/hyperlink" Target="https://yookassa.ru/protection/" TargetMode="External"/><Relationship Id="rId25" Type="http://schemas.openxmlformats.org/officeDocument/2006/relationships/hyperlink" Target="https://habr.com/ru/news/717604/" TargetMode="External"/><Relationship Id="rId26" Type="http://schemas.openxmlformats.org/officeDocument/2006/relationships/hyperlink" Target="https://www.cnews.ru/news/line/2026-09-02_x-com_postavila_drweb_dlya_zashchity" TargetMode="External"/><Relationship Id="rId27" Type="http://schemas.openxmlformats.org/officeDocument/2006/relationships/hyperlink" Target="https://cisoclub.ru/x-com-postavila-dr-web-dlja-zashhity-rabochih-mest-v-jumoney" TargetMode="External"/><Relationship Id="rId28" Type="http://schemas.openxmlformats.org/officeDocument/2006/relationships/hyperlink" Target="https://habr.com/ru/articles/844224/" TargetMode="External"/><Relationship Id="rId29" Type="http://schemas.openxmlformats.org/officeDocument/2006/relationships/hyperlink" Target="https://habr.com/ru/amp/publications/537236" TargetMode="External"/><Relationship Id="rId30" Type="http://schemas.openxmlformats.org/officeDocument/2006/relationships/hyperlink" Target="https://base.garant.ru/408182189/" TargetMode="External"/><Relationship Id="rId31" Type="http://schemas.openxmlformats.org/officeDocument/2006/relationships/hyperlink" Target="https://newprospect.ru/news/stavki-arendyi-kachestvennyix-ofisov-v-sankt-peterburge-sokratilis-vpervyie-za-pyat-let" TargetMode="External"/><Relationship Id="rId32" Type="http://schemas.openxmlformats.org/officeDocument/2006/relationships/hyperlink" Target="https://career.habr.com/companies/yoomoneyru" TargetMode="External"/><Relationship Id="rId33" Type="http://schemas.openxmlformats.org/officeDocument/2006/relationships/hyperlink" Target="https://www.consultant.ru/legalnews/28492/" TargetMode="External"/><Relationship Id="rId34" Type="http://schemas.openxmlformats.org/officeDocument/2006/relationships/hyperlink" Target="https://itglobal.com/ru-ru/company/blog/ukaz-prezidenta-%E2%84%96-250-na-kogo-rasprostranyayutsya-trebovaniya-i-kak-ih-vypolnit/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ПР1 — Бизнес и его ИТ ЮMoney</dc:title>
  <dc:description>Claude Docs node/fb763f83-39b1@343 docx-w6</dc:description>
  <cp:revision>343</cp:revision>
</cp:coreProperties>
</file>