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ПР1 — Бизнес и его ИТ: ЮMoney</w:t>
      </w:r>
    </w:p>
    <w:p>
      <w:pPr/>
      <w:r>
        <w:t xml:space="preserve">Sep 21, 2026</w:t>
      </w:r>
      <w:r>
        <w:t xml:space="preserve"> · </w:t>
      </w:r>
      <w:r>
        <w:t xml:space="preserve">@Someone</w:t>
      </w:r>
    </w:p>
    <w:p>
      <w:pPr/>
      <w:r>
        <w:rPr>
          <w:b/>
        </w:rPr>
        <w:t xml:space="preserve">Диагноз:</w:t>
      </w:r>
      <w:r>
        <w:t xml:space="preserve"> ИТ ЮMoney работает как поставщик услуг — методом исключения: не служба (ИТ владеет продуктами), не партнёр (нигде не раскрыт посчитанный эффект инициатив, нет стратега при собственнике). Обязательства перед магазинами и Банком России она держит и по ним подотчётна. Самое слабое место — связь и безопасность: владельцы почты, мессенджера и VPN не установлены.</w:t>
      </w:r>
    </w:p>
    <w:p>
      <w:pPr>
        <w:pStyle w:val="Heading2"/>
      </w:pPr>
      <w:r>
        <w:t xml:space="preserve">Паспорт проекта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Параметр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Значение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Бизнес</w:t>
            </w:r>
          </w:p>
        </w:tc>
        <w:tc>
          <w:tcPr>
            <w:tcW w:w="4680" w:type="dxa"/>
          </w:tcPr>
          <w:p>
            <w:pPr/>
            <w:r>
              <w:t xml:space="preserve">ЮMoney (ООО НКО «ЮМани»): приём платежей для магазинов (ЮKassa), кошелёк и карты, BaaS-платформа ЮSoft. 100% у Сбера (</w:t>
            </w:r>
            <w:hyperlink r:id="rId3" w:history="1">
              <w:r>
                <w:rPr>
                  <w:rStyle w:val="Hyperlink"/>
                </w:rPr>
                <w:t xml:space="preserve">9</w:t>
              </w:r>
            </w:hyperlink>
            <w:r>
              <w:t xml:space="preserve">, </w:t>
            </w:r>
            <w:hyperlink r:id="rId4" w:history="1">
              <w:r>
                <w:rPr>
                  <w:rStyle w:val="Hyperlink"/>
                </w:rPr>
                <w:t xml:space="preserve">10</w:t>
              </w:r>
            </w:hyperlink>
            <w:r>
              <w:t xml:space="preserve">, </w:t>
            </w:r>
            <w:hyperlink r:id="rId5" w:history="1">
              <w:r>
                <w:rPr>
                  <w:rStyle w:val="Hyperlink"/>
                </w:rPr>
                <w:t xml:space="preserve">11</w:t>
              </w:r>
            </w:hyperlink>
            <w:r>
              <w:t xml:space="preserve">)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Выручка за 2025 год</w:t>
            </w:r>
          </w:p>
        </w:tc>
        <w:tc>
          <w:tcPr>
            <w:tcW w:w="4680" w:type="dxa"/>
          </w:tcPr>
          <w:p>
            <w:pPr/>
            <w:r>
              <w:t xml:space="preserve">27,55 млрд ₽, +15,89% к 2024; №1 среди российских финтех-компаний по выручке (</w:t>
            </w:r>
            <w:hyperlink r:id="rId6" w:history="1">
              <w:r>
                <w:rPr>
                  <w:rStyle w:val="Hyperlink"/>
                </w:rPr>
                <w:t xml:space="preserve">1</w:t>
              </w:r>
            </w:hyperlink>
            <w:r>
              <w:t xml:space="preserve">)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Масштаб</w:t>
            </w:r>
          </w:p>
        </w:tc>
        <w:tc>
          <w:tcPr>
            <w:tcW w:w="4680" w:type="dxa"/>
          </w:tcPr>
          <w:p>
            <w:pPr/>
            <w:r>
              <w:t xml:space="preserve">1124 сотрудника, 456 — ИТ-специалисты (внутренние данные); около 100 млн зарегистрированных кошельков (</w:t>
            </w:r>
            <w:hyperlink r:id="rId7" w:history="1">
              <w:r>
                <w:rPr>
                  <w:rStyle w:val="Hyperlink"/>
                </w:rPr>
                <w:t xml:space="preserve">2</w:t>
              </w:r>
            </w:hyperlink>
            <w:r>
              <w:t xml:space="preserve">)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Состояние ИТ</w:t>
            </w:r>
          </w:p>
        </w:tc>
        <w:tc>
          <w:tcPr>
            <w:tcW w:w="4680" w:type="dxa"/>
          </w:tcPr>
          <w:p>
            <w:pPr/>
            <w:r>
              <w:t xml:space="preserve">Поставщик услуг — определено методом исключения (не служба, не партнёр); уверенность выше средней, каталог и SLA не опубликованы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Слабые места для ПР2</w:t>
            </w:r>
          </w:p>
        </w:tc>
        <w:tc>
          <w:tcPr>
            <w:tcW w:w="4680" w:type="dxa"/>
          </w:tcPr>
          <w:p>
            <w:pPr/>
            <w:r>
              <w:t xml:space="preserve">Связь: владельцы почты, VPN и резервных копий не установлены по открытым источникам. Выручка: около 89% комиссии — из одного сегмента (интернет-магазины) — база для гипотез роста в ПР2</w:t>
            </w:r>
          </w:p>
        </w:tc>
      </w:tr>
    </w:tbl>
    <w:p>
      <w:pPr>
        <w:pStyle w:val="Heading2"/>
      </w:pPr>
      <w:r>
        <w:t xml:space="preserve">1. Бизнес</w:t>
      </w:r>
    </w:p>
    <w:p>
      <w:pPr/>
      <w:r>
        <w:t xml:space="preserve">ЮMoney — крупнейшая по выручке российская финтех-компания: 27,55 млрд ₽ за 2025 год, +15,89% к 2024 (</w:t>
      </w:r>
      <w:hyperlink r:id="rId6" w:history="1">
        <w:r>
          <w:rPr>
            <w:rStyle w:val="Hyperlink"/>
          </w:rPr>
          <w:t xml:space="preserve">1</w:t>
        </w:r>
      </w:hyperlink>
      <w:r>
        <w:t xml:space="preserve">).</w:t>
      </w:r>
    </w:p>
    <w:p>
      <w:pPr/>
      <w:r>
        <w:t xml:space="preserve">Юридическое лицо — ООО НКО «ЮМани», небанковская кредитная организация с лицензией Банка России № 3510-К, зарегистрирована 02.08.2012, уставный капитал 90 млн ₽; лицензия даёт переводы без открытия счёта, счета юрлиц и валютные операции (</w:t>
      </w:r>
      <w:hyperlink r:id="rId3" w:history="1">
        <w:r>
          <w:rPr>
            <w:rStyle w:val="Hyperlink"/>
          </w:rPr>
          <w:t xml:space="preserve">9</w:t>
        </w:r>
      </w:hyperlink>
      <w:r>
        <w:t xml:space="preserve">). Отрасль — финтех, платёжные услуги. Компания выросла из «Яндекс.Денег»: в июле 2020 года Сбер, владевший 75%, выкупил остальные 25% и стал единственным собственником (</w:t>
      </w:r>
      <w:hyperlink r:id="rId4" w:history="1">
        <w:r>
          <w:rPr>
            <w:rStyle w:val="Hyperlink"/>
          </w:rPr>
          <w:t xml:space="preserve">10</w:t>
        </w:r>
      </w:hyperlink>
      <w:r>
        <w:t xml:space="preserve">); сейчас ЮMoney «полностью принадлежит Сбербанку» (</w:t>
      </w:r>
      <w:hyperlink r:id="rId5" w:history="1">
        <w:r>
          <w:rPr>
            <w:rStyle w:val="Hyperlink"/>
          </w:rPr>
          <w:t xml:space="preserve">11</w:t>
        </w:r>
      </w:hyperlink>
      <w:r>
        <w:t xml:space="preserve">). Генеральный директор Иван Глазачев руководит компанией с марта 2017 года (</w:t>
      </w:r>
      <w:hyperlink r:id="rId8" w:history="1">
        <w:r>
          <w:rPr>
            <w:rStyle w:val="Hyperlink"/>
          </w:rPr>
          <w:t xml:space="preserve">22</w:t>
        </w:r>
      </w:hyperlink>
      <w:r>
        <w:t xml:space="preserve">).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F2F2F2"/>
          </w:tcPr>
          <w:p>
            <w:pPr/>
            <w:r>
              <w:t xml:space="preserve">Год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Выручка по Smart Ranking, млрд ₽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Комиссионные доходы (РСБУ), млрд ₽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Чистая прибыль (РСБУ), млрд ₽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2025</w:t>
            </w:r>
          </w:p>
        </w:tc>
        <w:tc>
          <w:tcPr>
            <w:tcW w:w="2340" w:type="dxa"/>
          </w:tcPr>
          <w:p>
            <w:pPr/>
            <w:r>
              <w:t xml:space="preserve">27,55 (</w:t>
            </w:r>
            <w:hyperlink r:id="rId6" w:history="1">
              <w:r>
                <w:rPr>
                  <w:rStyle w:val="Hyperlink"/>
                </w:rPr>
                <w:t xml:space="preserve">1</w:t>
              </w:r>
            </w:hyperlink>
            <w:r>
              <w:t xml:space="preserve">)</w:t>
            </w:r>
          </w:p>
        </w:tc>
        <w:tc>
          <w:tcPr>
            <w:tcW w:w="2340" w:type="dxa"/>
          </w:tcPr>
          <w:p>
            <w:pPr/>
            <w:r>
              <w:t xml:space="preserve">не найдено</w:t>
            </w:r>
          </w:p>
        </w:tc>
        <w:tc>
          <w:tcPr>
            <w:tcW w:w="2340" w:type="dxa"/>
          </w:tcPr>
          <w:p>
            <w:pPr/>
            <w:r>
              <w:t xml:space="preserve">не найдено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2024</w:t>
            </w:r>
          </w:p>
        </w:tc>
        <w:tc>
          <w:tcPr>
            <w:tcW w:w="2340" w:type="dxa"/>
          </w:tcPr>
          <w:p>
            <w:pPr/>
            <w:r>
              <w:t xml:space="preserve">≈23,8 (расчёт: 27,55 / 1,1589)</w:t>
            </w:r>
          </w:p>
        </w:tc>
        <w:tc>
          <w:tcPr>
            <w:tcW w:w="2340" w:type="dxa"/>
          </w:tcPr>
          <w:p>
            <w:pPr/>
            <w:r>
              <w:t xml:space="preserve">не найдено</w:t>
            </w:r>
          </w:p>
        </w:tc>
        <w:tc>
          <w:tcPr>
            <w:tcW w:w="2340" w:type="dxa"/>
          </w:tcPr>
          <w:p>
            <w:pPr/>
            <w:r>
              <w:t xml:space="preserve">1,6 за I полугодие (</w:t>
            </w:r>
            <w:hyperlink r:id="rId9" w:history="1">
              <w:r>
                <w:rPr>
                  <w:rStyle w:val="Hyperlink"/>
                </w:rPr>
                <w:t xml:space="preserve">7</w:t>
              </w:r>
            </w:hyperlink>
            <w:r>
              <w:t xml:space="preserve">)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2023</w:t>
            </w:r>
          </w:p>
        </w:tc>
        <w:tc>
          <w:tcPr>
            <w:tcW w:w="2340" w:type="dxa"/>
          </w:tcPr>
          <w:p>
            <w:pPr/>
            <w:r>
              <w:t xml:space="preserve">—</w:t>
            </w:r>
          </w:p>
        </w:tc>
        <w:tc>
          <w:tcPr>
            <w:tcW w:w="2340" w:type="dxa"/>
          </w:tcPr>
          <w:p>
            <w:pPr/>
            <w:r>
              <w:t xml:space="preserve">19,77 (</w:t>
            </w:r>
            <w:hyperlink r:id="rId10" w:history="1">
              <w:r>
                <w:rPr>
                  <w:rStyle w:val="Hyperlink"/>
                </w:rPr>
                <w:t xml:space="preserve">6</w:t>
              </w:r>
            </w:hyperlink>
            <w:r>
              <w:t xml:space="preserve">)</w:t>
            </w:r>
          </w:p>
        </w:tc>
        <w:tc>
          <w:tcPr>
            <w:tcW w:w="2340" w:type="dxa"/>
          </w:tcPr>
          <w:p>
            <w:pPr/>
            <w:r>
              <w:t xml:space="preserve">2,0 (</w:t>
            </w:r>
            <w:hyperlink r:id="rId10" w:history="1">
              <w:r>
                <w:rPr>
                  <w:rStyle w:val="Hyperlink"/>
                </w:rPr>
                <w:t xml:space="preserve">6</w:t>
              </w:r>
            </w:hyperlink>
            <w:r>
              <w:t xml:space="preserve">)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2022</w:t>
            </w:r>
          </w:p>
        </w:tc>
        <w:tc>
          <w:tcPr>
            <w:tcW w:w="2340" w:type="dxa"/>
          </w:tcPr>
          <w:p>
            <w:pPr/>
            <w:r>
              <w:t xml:space="preserve">—</w:t>
            </w:r>
          </w:p>
        </w:tc>
        <w:tc>
          <w:tcPr>
            <w:tcW w:w="2340" w:type="dxa"/>
          </w:tcPr>
          <w:p>
            <w:pPr/>
            <w:r>
              <w:t xml:space="preserve">16,88 (</w:t>
            </w:r>
            <w:hyperlink r:id="rId10" w:history="1">
              <w:r>
                <w:rPr>
                  <w:rStyle w:val="Hyperlink"/>
                </w:rPr>
                <w:t xml:space="preserve">6</w:t>
              </w:r>
            </w:hyperlink>
            <w:r>
              <w:t xml:space="preserve">)</w:t>
            </w:r>
          </w:p>
        </w:tc>
        <w:tc>
          <w:tcPr>
            <w:tcW w:w="2340" w:type="dxa"/>
          </w:tcPr>
          <w:p>
            <w:pPr/>
            <w:r>
              <w:t xml:space="preserve">1,5 (</w:t>
            </w:r>
            <w:hyperlink r:id="rId11" w:history="1">
              <w:r>
                <w:rPr>
                  <w:rStyle w:val="Hyperlink"/>
                </w:rPr>
                <w:t xml:space="preserve">8</w:t>
              </w:r>
            </w:hyperlink>
            <w:r>
              <w:t xml:space="preserve">)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2021</w:t>
            </w:r>
          </w:p>
        </w:tc>
        <w:tc>
          <w:tcPr>
            <w:tcW w:w="2340" w:type="dxa"/>
          </w:tcPr>
          <w:p>
            <w:pPr/>
            <w:r>
              <w:t xml:space="preserve">—</w:t>
            </w:r>
          </w:p>
        </w:tc>
        <w:tc>
          <w:tcPr>
            <w:tcW w:w="2340" w:type="dxa"/>
          </w:tcPr>
          <w:p>
            <w:pPr/>
            <w:r>
              <w:t xml:space="preserve">21,8 (</w:t>
            </w:r>
            <w:hyperlink r:id="rId11" w:history="1">
              <w:r>
                <w:rPr>
                  <w:rStyle w:val="Hyperlink"/>
                </w:rPr>
                <w:t xml:space="preserve">8</w:t>
              </w:r>
            </w:hyperlink>
            <w:r>
              <w:t xml:space="preserve">)</w:t>
            </w:r>
          </w:p>
        </w:tc>
        <w:tc>
          <w:tcPr>
            <w:tcW w:w="2340" w:type="dxa"/>
          </w:tcPr>
          <w:p>
            <w:pPr/>
            <w:r>
              <w:t xml:space="preserve">≈2,0 (расчёт: 1,5 / 0,75)</w:t>
            </w:r>
          </w:p>
        </w:tc>
      </w:tr>
    </w:tbl>
    <w:p>
      <w:pPr/>
      <w:r>
        <w:t xml:space="preserve">Выручка рейтинга и комиссионные доходы по РСБУ — разные показатели; как рейтинг считает «выручку» НКО, он не раскрывает (допущение А1). Квартальные данные сходятся между собой: 7,6 млрд ₽ в I квартале 2025 (</w:t>
      </w:r>
      <w:hyperlink r:id="rId12" w:history="1">
        <w:r>
          <w:rPr>
            <w:rStyle w:val="Hyperlink"/>
          </w:rPr>
          <w:t xml:space="preserve">3</w:t>
        </w:r>
      </w:hyperlink>
      <w:r>
        <w:t xml:space="preserve">) плюс 6,53 во II даёт 14,13 за полугодие (</w:t>
      </w:r>
      <w:hyperlink r:id="rId7" w:history="1">
        <w:r>
          <w:rPr>
            <w:rStyle w:val="Hyperlink"/>
          </w:rPr>
          <w:t xml:space="preserve">2</w:t>
        </w:r>
      </w:hyperlink>
      <w:r>
        <w:t xml:space="preserve">); II квартал 2026 — 7,325 млрд ₽ при росте 12%, что даёт те же 6,54 годом ранее, рынок в целом вырос на 9% (</w:t>
      </w:r>
      <w:hyperlink r:id="rId13" w:history="1">
        <w:r>
          <w:rPr>
            <w:rStyle w:val="Hyperlink"/>
          </w:rPr>
          <w:t xml:space="preserve">4</w:t>
        </w:r>
      </w:hyperlink>
      <w:r>
        <w:t xml:space="preserve">). В 2022 году, после блокирующих санкций США против Сбера, комиссионные доходы упали на 22,5% (</w:t>
      </w:r>
      <w:hyperlink r:id="rId11" w:history="1">
        <w:r>
          <w:rPr>
            <w:rStyle w:val="Hyperlink"/>
          </w:rPr>
          <w:t xml:space="preserve">8</w:t>
        </w:r>
      </w:hyperlink>
      <w:r>
        <w:t xml:space="preserve">).</w:t>
      </w:r>
    </w:p>
    <w:p>
      <w:pPr>
        <w:pStyle w:val="Heading2"/>
      </w:pPr>
      <w:r>
        <w:t xml:space="preserve">2. Направления</w:t>
      </w:r>
    </w:p>
    <w:p>
      <w:pPr/>
      <w:r>
        <w:t xml:space="preserve">Доли направлений компания не раскрывает. Единственный публичный срез — комиссии по РСБУ за I полугодие 2024 года: из трёх названных статей около 89% приходится на комиссии от интернет-магазинов, то есть на ЮKassa (</w:t>
      </w:r>
      <w:hyperlink r:id="rId9" w:history="1">
        <w:r>
          <w:rPr>
            <w:rStyle w:val="Hyperlink"/>
          </w:rPr>
          <w:t xml:space="preserve">7</w:t>
        </w:r>
      </w:hyperlink>
      <w:r>
        <w:t xml:space="preserve">).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F2F2F2"/>
          </w:tcPr>
          <w:p>
            <w:pPr/>
            <w:r>
              <w:t xml:space="preserve">Направление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Что продаётся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Срез выручки (I полугодие 2024)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Доля трёх статей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ЮKassa</w:t>
            </w:r>
          </w:p>
        </w:tc>
        <w:tc>
          <w:tcPr>
            <w:tcW w:w="2340" w:type="dxa"/>
          </w:tcPr>
          <w:p>
            <w:pPr/>
            <w:r>
              <w:t xml:space="preserve">приём платежей для ИП, юрлиц и самозанятых (</w:t>
            </w:r>
            <w:hyperlink r:id="rId14" w:history="1">
              <w:r>
                <w:rPr>
                  <w:rStyle w:val="Hyperlink"/>
                </w:rPr>
                <w:t xml:space="preserve">25</w:t>
              </w:r>
            </w:hyperlink>
            <w:r>
              <w:t xml:space="preserve">)</w:t>
            </w:r>
          </w:p>
        </w:tc>
        <w:tc>
          <w:tcPr>
            <w:tcW w:w="2340" w:type="dxa"/>
          </w:tcPr>
          <w:p>
            <w:pPr/>
            <w:r>
              <w:t xml:space="preserve">9,2 млрд ₽, +11% к I полугодию 2023 (</w:t>
            </w:r>
            <w:hyperlink r:id="rId9" w:history="1">
              <w:r>
                <w:rPr>
                  <w:rStyle w:val="Hyperlink"/>
                </w:rPr>
                <w:t xml:space="preserve">7</w:t>
              </w:r>
            </w:hyperlink>
            <w:r>
              <w:t xml:space="preserve">)</w:t>
            </w:r>
          </w:p>
        </w:tc>
        <w:tc>
          <w:tcPr>
            <w:tcW w:w="2340" w:type="dxa"/>
          </w:tcPr>
          <w:p>
            <w:pPr/>
            <w:r>
              <w:t xml:space="preserve">≈89%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Переводы физлиц</w:t>
            </w:r>
          </w:p>
        </w:tc>
        <w:tc>
          <w:tcPr>
            <w:tcW w:w="2340" w:type="dxa"/>
          </w:tcPr>
          <w:p>
            <w:pPr/>
            <w:r>
              <w:t xml:space="preserve">переводы из кошелька и на карты</w:t>
            </w:r>
          </w:p>
        </w:tc>
        <w:tc>
          <w:tcPr>
            <w:tcW w:w="2340" w:type="dxa"/>
          </w:tcPr>
          <w:p>
            <w:pPr/>
            <w:r>
              <w:t xml:space="preserve">657 млн ₽, ×1,7 (</w:t>
            </w:r>
            <w:hyperlink r:id="rId9" w:history="1">
              <w:r>
                <w:rPr>
                  <w:rStyle w:val="Hyperlink"/>
                </w:rPr>
                <w:t xml:space="preserve">7</w:t>
              </w:r>
            </w:hyperlink>
            <w:r>
              <w:t xml:space="preserve">)</w:t>
            </w:r>
          </w:p>
        </w:tc>
        <w:tc>
          <w:tcPr>
            <w:tcW w:w="2340" w:type="dxa"/>
          </w:tcPr>
          <w:p>
            <w:pPr/>
            <w:r>
              <w:t xml:space="preserve">≈6%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Платежи физлиц</w:t>
            </w:r>
          </w:p>
        </w:tc>
        <w:tc>
          <w:tcPr>
            <w:tcW w:w="2340" w:type="dxa"/>
          </w:tcPr>
          <w:p>
            <w:pPr/>
            <w:r>
              <w:t xml:space="preserve">оплата услуг из кошелька</w:t>
            </w:r>
          </w:p>
        </w:tc>
        <w:tc>
          <w:tcPr>
            <w:tcW w:w="2340" w:type="dxa"/>
          </w:tcPr>
          <w:p>
            <w:pPr/>
            <w:r>
              <w:t xml:space="preserve">428 млн ₽ (было 38 млн) (</w:t>
            </w:r>
            <w:hyperlink r:id="rId9" w:history="1">
              <w:r>
                <w:rPr>
                  <w:rStyle w:val="Hyperlink"/>
                </w:rPr>
                <w:t xml:space="preserve">7</w:t>
              </w:r>
            </w:hyperlink>
            <w:r>
              <w:t xml:space="preserve">)</w:t>
            </w:r>
          </w:p>
        </w:tc>
        <w:tc>
          <w:tcPr>
            <w:tcW w:w="2340" w:type="dxa"/>
          </w:tcPr>
          <w:p>
            <w:pPr/>
            <w:r>
              <w:t xml:space="preserve">≈4%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Карты (около 3,5 млн пластиковых, более 35 млн виртуальных)</w:t>
            </w:r>
          </w:p>
        </w:tc>
        <w:tc>
          <w:tcPr>
            <w:tcW w:w="2340" w:type="dxa"/>
          </w:tcPr>
          <w:p>
            <w:pPr/>
            <w:r>
              <w:t xml:space="preserve">карты «Мир» и Visa (</w:t>
            </w:r>
            <w:hyperlink r:id="rId7" w:history="1">
              <w:r>
                <w:rPr>
                  <w:rStyle w:val="Hyperlink"/>
                </w:rPr>
                <w:t xml:space="preserve">2</w:t>
              </w:r>
            </w:hyperlink>
            <w:r>
              <w:t xml:space="preserve">, </w:t>
            </w:r>
            <w:hyperlink r:id="rId5" w:history="1">
              <w:r>
                <w:rPr>
                  <w:rStyle w:val="Hyperlink"/>
                </w:rPr>
                <w:t xml:space="preserve">11</w:t>
              </w:r>
            </w:hyperlink>
            <w:r>
              <w:t xml:space="preserve">)</w:t>
            </w:r>
          </w:p>
        </w:tc>
        <w:tc>
          <w:tcPr>
            <w:tcW w:w="2340" w:type="dxa"/>
          </w:tcPr>
          <w:p>
            <w:pPr/>
            <w:r>
              <w:t xml:space="preserve">не выделено</w:t>
            </w:r>
          </w:p>
        </w:tc>
        <w:tc>
          <w:tcPr>
            <w:tcW w:w="2340" w:type="dxa"/>
          </w:tcPr>
          <w:p>
            <w:pPr/>
            <w:r>
              <w:t xml:space="preserve">—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ЮSoft (BaaS)</w:t>
            </w:r>
          </w:p>
        </w:tc>
        <w:tc>
          <w:tcPr>
            <w:tcW w:w="2340" w:type="dxa"/>
          </w:tcPr>
          <w:p>
            <w:pPr/>
            <w:r>
              <w:t xml:space="preserve">кошельки, идентификация, переводы, карты в конструкторе для чужих продуктов; запущена 25.09.2025 (</w:t>
            </w:r>
            <w:hyperlink r:id="rId15" w:history="1">
              <w:r>
                <w:rPr>
                  <w:rStyle w:val="Hyperlink"/>
                </w:rPr>
                <w:t xml:space="preserve">23</w:t>
              </w:r>
            </w:hyperlink>
            <w:r>
              <w:t xml:space="preserve">)</w:t>
            </w:r>
          </w:p>
        </w:tc>
        <w:tc>
          <w:tcPr>
            <w:tcW w:w="2340" w:type="dxa"/>
          </w:tcPr>
          <w:p>
            <w:pPr/>
            <w:r>
              <w:t xml:space="preserve">не раскрыто</w:t>
            </w:r>
          </w:p>
        </w:tc>
        <w:tc>
          <w:tcPr>
            <w:tcW w:w="2340" w:type="dxa"/>
          </w:tcPr>
          <w:p>
            <w:pPr/>
            <w:r>
              <w:t xml:space="preserve">—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ЮBusiness (расчётный счёт)</w:t>
            </w:r>
          </w:p>
        </w:tc>
        <w:tc>
          <w:tcPr>
            <w:tcW w:w="2340" w:type="dxa"/>
          </w:tcPr>
          <w:p>
            <w:pPr/>
            <w:r>
              <w:t xml:space="preserve">РКО для предпринимателей (</w:t>
            </w:r>
            <w:hyperlink r:id="rId16" w:history="1">
              <w:r>
                <w:rPr>
                  <w:rStyle w:val="Hyperlink"/>
                </w:rPr>
                <w:t xml:space="preserve">14</w:t>
              </w:r>
            </w:hyperlink>
            <w:r>
              <w:t xml:space="preserve">)</w:t>
            </w:r>
          </w:p>
        </w:tc>
        <w:tc>
          <w:tcPr>
            <w:tcW w:w="2340" w:type="dxa"/>
          </w:tcPr>
          <w:p>
            <w:pPr/>
            <w:r>
              <w:t xml:space="preserve">не раскрыто</w:t>
            </w:r>
          </w:p>
        </w:tc>
        <w:tc>
          <w:tcPr>
            <w:tcW w:w="2340" w:type="dxa"/>
          </w:tcPr>
          <w:p>
            <w:pPr/>
            <w:r>
              <w:t xml:space="preserve">—</w:t>
            </w:r>
          </w:p>
        </w:tc>
      </w:tr>
    </w:tbl>
    <w:p>
      <w:pPr/>
      <w:r>
        <w:t xml:space="preserve">Число, которое важно для дальнейших работ: из комиссионных доходов 2023 года в 19,77 млрд ₽ компании остаётся лишь 5,76 млрд ₽ (≈29%), остальное — комиссионные расходы 14,01 млрд ₽; ещё 1,13 млрд ₽ — чистые процентные доходы (</w:t>
      </w:r>
      <w:hyperlink r:id="rId10" w:history="1">
        <w:r>
          <w:rPr>
            <w:rStyle w:val="Hyperlink"/>
          </w:rPr>
          <w:t xml:space="preserve">6</w:t>
        </w:r>
      </w:hyperlink>
      <w:r>
        <w:t xml:space="preserve">). То есть с каждого рубля комиссии маржа — около 29 копеек, и каждый платёж добавляет затраты на сети и банки-партнёры.</w:t>
      </w:r>
    </w:p>
    <w:p>
      <w:pPr>
        <w:pStyle w:val="Heading2"/>
      </w:pPr>
      <w:r>
        <w:t xml:space="preserve">3. Клиенты и каналы</w:t>
      </w:r>
    </w:p>
    <w:p>
      <w:pPr/>
      <w:r>
        <w:t xml:space="preserve">Большую часть выручки платят магазины и сервисы, подключённые по API и плагинам для CMS; физлица приносят малую долю выручки, но большую базу.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Клиент и за что платит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Масштаб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Канал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Интернет-магазины, ИП, самозанятые: комиссия с каждого платежа (ЮKassa)</w:t>
            </w:r>
          </w:p>
        </w:tc>
        <w:tc>
          <w:tcPr>
            <w:tcW w:w="3120" w:type="dxa"/>
          </w:tcPr>
          <w:p>
            <w:pPr/>
            <w:r>
              <w:t xml:space="preserve">37,6% магазинов Рунета в 2023 (</w:t>
            </w:r>
            <w:hyperlink r:id="rId17" w:history="1">
              <w:r>
                <w:rPr>
                  <w:rStyle w:val="Hyperlink"/>
                </w:rPr>
                <w:t xml:space="preserve">12</w:t>
              </w:r>
            </w:hyperlink>
            <w:r>
              <w:t xml:space="preserve">), 40% в I квартале 2025 (</w:t>
            </w:r>
            <w:hyperlink r:id="rId12" w:history="1">
              <w:r>
                <w:rPr>
                  <w:rStyle w:val="Hyperlink"/>
                </w:rPr>
                <w:t xml:space="preserve">3</w:t>
              </w:r>
            </w:hyperlink>
            <w:r>
              <w:t xml:space="preserve">) — оба числа самооценка компании; более 160 тыс. площадок из 75 стран (</w:t>
            </w:r>
            <w:hyperlink r:id="rId18" w:history="1">
              <w:r>
                <w:rPr>
                  <w:rStyle w:val="Hyperlink"/>
                </w:rPr>
                <w:t xml:space="preserve">21</w:t>
              </w:r>
            </w:hyperlink>
            <w:r>
              <w:t xml:space="preserve">) или 266+ тыс. (</w:t>
            </w:r>
            <w:hyperlink r:id="rId19" w:history="1">
              <w:r>
                <w:rPr>
                  <w:rStyle w:val="Hyperlink"/>
                </w:rPr>
                <w:t xml:space="preserve">13</w:t>
              </w:r>
            </w:hyperlink>
            <w:r>
              <w:t xml:space="preserve">) — числа расходятся; более 4,5 млн успешных платежей в сутки в 2024 (</w:t>
            </w:r>
            <w:hyperlink r:id="rId19" w:history="1">
              <w:r>
                <w:rPr>
                  <w:rStyle w:val="Hyperlink"/>
                </w:rPr>
                <w:t xml:space="preserve">13</w:t>
              </w:r>
            </w:hyperlink>
            <w:r>
              <w:t xml:space="preserve">)</w:t>
            </w:r>
          </w:p>
        </w:tc>
        <w:tc>
          <w:tcPr>
            <w:tcW w:w="3120" w:type="dxa"/>
          </w:tcPr>
          <w:p>
            <w:pPr/>
            <w:r>
              <w:t xml:space="preserve">API, плагины для CMS (например, WordPress, OpenCart) (</w:t>
            </w:r>
            <w:hyperlink r:id="rId20" w:history="1">
              <w:r>
                <w:rPr>
                  <w:rStyle w:val="Hyperlink"/>
                </w:rPr>
                <w:t xml:space="preserve">5</w:t>
              </w:r>
            </w:hyperlink>
            <w:r>
              <w:t xml:space="preserve">); партнёры — Авито, Ozon, Mail.ru, CDEK, Профи, часть исторические (</w:t>
            </w:r>
            <w:hyperlink r:id="rId14" w:history="1">
              <w:r>
                <w:rPr>
                  <w:rStyle w:val="Hyperlink"/>
                </w:rPr>
                <w:t xml:space="preserve">25</w:t>
              </w:r>
            </w:hyperlink>
            <w:r>
              <w:t xml:space="preserve">)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Компании, встраивающие финансы в свои продукты (ЮSoft): маркетплейсы, МФО, страховые, авиакомпании, застройщики (</w:t>
            </w:r>
            <w:hyperlink r:id="rId15" w:history="1">
              <w:r>
                <w:rPr>
                  <w:rStyle w:val="Hyperlink"/>
                </w:rPr>
                <w:t xml:space="preserve">23</w:t>
              </w:r>
            </w:hyperlink>
            <w:r>
              <w:t xml:space="preserve">)</w:t>
            </w:r>
          </w:p>
        </w:tc>
        <w:tc>
          <w:tcPr>
            <w:tcW w:w="3120" w:type="dxa"/>
          </w:tcPr>
          <w:p>
            <w:pPr/>
            <w:r>
              <w:t xml:space="preserve">запуск 25.09.2025, число клиентов и эффект не раскрыты</w:t>
            </w:r>
          </w:p>
        </w:tc>
        <w:tc>
          <w:tcPr>
            <w:tcW w:w="3120" w:type="dxa"/>
          </w:tcPr>
          <w:p>
            <w:pPr/>
            <w:r>
              <w:t xml:space="preserve">API-конструктор white-label (</w:t>
            </w:r>
            <w:hyperlink r:id="rId21" w:history="1">
              <w:r>
                <w:rPr>
                  <w:rStyle w:val="Hyperlink"/>
                </w:rPr>
                <w:t xml:space="preserve">24</w:t>
              </w:r>
            </w:hyperlink>
            <w:r>
              <w:t xml:space="preserve">)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Физлица: комиссии за переводы и платежи, карты</w:t>
            </w:r>
          </w:p>
        </w:tc>
        <w:tc>
          <w:tcPr>
            <w:tcW w:w="3120" w:type="dxa"/>
          </w:tcPr>
          <w:p>
            <w:pPr/>
            <w:r>
              <w:t xml:space="preserve">около 100 млн зарегистрированных кошельков (активных — не раскрыто), около 3,5 млн пластиковых и более 35 млн виртуальных карт (</w:t>
            </w:r>
            <w:hyperlink r:id="rId7" w:history="1">
              <w:r>
                <w:rPr>
                  <w:rStyle w:val="Hyperlink"/>
                </w:rPr>
                <w:t xml:space="preserve">2</w:t>
              </w:r>
            </w:hyperlink>
            <w:r>
              <w:t xml:space="preserve">)</w:t>
            </w:r>
          </w:p>
        </w:tc>
        <w:tc>
          <w:tcPr>
            <w:tcW w:w="3120" w:type="dxa"/>
          </w:tcPr>
          <w:p>
            <w:pPr/>
            <w:r>
              <w:t xml:space="preserve">приложение и сайт; СБП — переводы, пополнение, оплата по QR (</w:t>
            </w:r>
            <w:hyperlink r:id="rId22" w:history="1">
              <w:r>
                <w:rPr>
                  <w:rStyle w:val="Hyperlink"/>
                </w:rPr>
                <w:t xml:space="preserve">26</w:t>
              </w:r>
            </w:hyperlink>
            <w:r>
              <w:t xml:space="preserve">)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Китайские туристы: карта туриста</w:t>
            </w:r>
          </w:p>
        </w:tc>
        <w:tc>
          <w:tcPr>
            <w:tcW w:w="3120" w:type="dxa"/>
          </w:tcPr>
          <w:p>
            <w:pPr/>
            <w:r>
              <w:t xml:space="preserve">более 70% пользователей карты туриста — граждане КНР</w:t>
            </w:r>
          </w:p>
        </w:tc>
        <w:tc>
          <w:tcPr>
            <w:tcW w:w="3120" w:type="dxa"/>
          </w:tcPr>
          <w:p>
            <w:pPr/>
            <w:r>
              <w:t xml:space="preserve">портал и приложение адаптированы под КНР в августе 2026 (</w:t>
            </w:r>
            <w:hyperlink r:id="rId20" w:history="1">
              <w:r>
                <w:rPr>
                  <w:rStyle w:val="Hyperlink"/>
                </w:rPr>
                <w:t xml:space="preserve">5</w:t>
              </w:r>
            </w:hyperlink>
            <w:r>
              <w:t xml:space="preserve">)</w:t>
            </w:r>
          </w:p>
        </w:tc>
      </w:tr>
    </w:tbl>
    <w:p>
      <w:pPr/>
      <w:r>
        <w:t xml:space="preserve">Давление рынка на базу физлиц: банки крупнейших маркетплейсов (Яндекс, Ozon, Wildberries) за три года подняли свою долю рынка электронных денег с 2% до 40% (</w:t>
      </w:r>
      <w:hyperlink r:id="rId23" w:history="1">
        <w:r>
          <w:rPr>
            <w:rStyle w:val="Hyperlink"/>
          </w:rPr>
          <w:t xml:space="preserve">27</w:t>
        </w:r>
      </w:hyperlink>
      <w:r>
        <w:t xml:space="preserve">; в новости ЮMoney не упомянут). Рост ЮMoney замедлился: +16% в I полугодии 2025 → +12% во II квартале 2026 (</w:t>
      </w:r>
      <w:hyperlink r:id="rId7" w:history="1">
        <w:r>
          <w:rPr>
            <w:rStyle w:val="Hyperlink"/>
          </w:rPr>
          <w:t xml:space="preserve">2</w:t>
        </w:r>
      </w:hyperlink>
      <w:r>
        <w:t xml:space="preserve">, </w:t>
      </w:r>
      <w:hyperlink r:id="rId13" w:history="1">
        <w:r>
          <w:rPr>
            <w:rStyle w:val="Hyperlink"/>
          </w:rPr>
          <w:t xml:space="preserve">4</w:t>
        </w:r>
      </w:hyperlink>
      <w:r>
        <w:t xml:space="preserve">).</w:t>
      </w:r>
    </w:p>
    <w:p>
      <w:pPr>
        <w:pStyle w:val="Heading2"/>
      </w:pPr>
      <w:r>
        <w:t xml:space="preserve">4. Ключевые процессы</w:t>
      </w:r>
    </w:p>
    <w:p>
      <w:pPr/>
      <w:r>
        <w:t xml:space="preserve">Главный путь от заказа до денег — пять действий на линии «магазин → ЮKassa → банки и сети → магазин». Это процесс, который будет разбираться в ПР3.</w:t>
      </w:r>
    </w:p>
    <w:p>
      <w:pPr>
        <w:pStyle w:val="Code"/>
      </w:pPr>
      <w:bookmarkStart w:id="1" w:name="bongo_lang_mermaid_1"/>
      <w:bookmarkEnd w:id="1"/>
      <w:r>
        <w:t xml:space="preserve">flowchart LR</w:t>
        <w:br/>
        <w:t xml:space="preserve">  A["1. Подключить магазин"] --&gt; B["2. Принять платёж"]</w:t>
        <w:br/>
        <w:t xml:space="preserve">  B --&gt; C["3. Провести платёж"]</w:t>
        <w:br/>
        <w:t xml:space="preserve">  C --&gt; D["4. Подтвердить и оформить чек"]</w:t>
        <w:br/>
        <w:t xml:space="preserve">  D --&gt; E["5. Рассчитаться с магазином"]</w:t>
      </w:r>
    </w:p>
    <w:p>
      <w:pPr/>
      <w:r>
        <w:t xml:space="preserve">На шагах 2–4 компания зарабатывает комиссию, на шаге 1 — получает нового клиента, на шаге 5 — фиксирует маржу.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Шаг (действие)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Что известно снаружи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1. Подключить магазин</w:t>
            </w:r>
          </w:p>
        </w:tc>
        <w:tc>
          <w:tcPr>
            <w:tcW w:w="4680" w:type="dxa"/>
          </w:tcPr>
          <w:p>
            <w:pPr/>
            <w:r>
              <w:t xml:space="preserve">заявлено «подключение от 1 дня» (</w:t>
            </w:r>
            <w:hyperlink r:id="rId24" w:history="1">
              <w:r>
                <w:rPr>
                  <w:rStyle w:val="Hyperlink"/>
                </w:rPr>
                <w:t xml:space="preserve">31</w:t>
              </w:r>
            </w:hyperlink>
            <w:r>
              <w:t xml:space="preserve">); плагины для CMS (</w:t>
            </w:r>
            <w:hyperlink r:id="rId20" w:history="1">
              <w:r>
                <w:rPr>
                  <w:rStyle w:val="Hyperlink"/>
                </w:rPr>
                <w:t xml:space="preserve">5</w:t>
              </w:r>
            </w:hyperlink>
            <w:r>
              <w:t xml:space="preserve">)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2. Принять платёж</w:t>
            </w:r>
          </w:p>
        </w:tc>
        <w:tc>
          <w:tcPr>
            <w:tcW w:w="4680" w:type="dxa"/>
          </w:tcPr>
          <w:p>
            <w:pPr/>
            <w:r>
              <w:t xml:space="preserve">пиковая нагрузка до 1000 платежей в секунду и до 6 млн транзакций в день на праздники и распродажи (2023) (</w:t>
            </w:r>
            <w:hyperlink r:id="rId17" w:history="1">
              <w:r>
                <w:rPr>
                  <w:rStyle w:val="Hyperlink"/>
                </w:rPr>
                <w:t xml:space="preserve">12</w:t>
              </w:r>
            </w:hyperlink>
            <w:r>
              <w:t xml:space="preserve">); более 4,5 млн успешных в сутки (2024) (</w:t>
            </w:r>
            <w:hyperlink r:id="rId19" w:history="1">
              <w:r>
                <w:rPr>
                  <w:rStyle w:val="Hyperlink"/>
                </w:rPr>
                <w:t xml:space="preserve">13</w:t>
              </w:r>
            </w:hyperlink>
            <w:r>
              <w:t xml:space="preserve">)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3. Провести платёж</w:t>
            </w:r>
          </w:p>
        </w:tc>
        <w:tc>
          <w:tcPr>
            <w:tcW w:w="4680" w:type="dxa"/>
          </w:tcPr>
          <w:p>
            <w:pPr/>
            <w:r>
              <w:t xml:space="preserve">способы оплаты: карты, кошелёк, QR, СБП (</w:t>
            </w:r>
            <w:hyperlink r:id="rId14" w:history="1">
              <w:r>
                <w:rPr>
                  <w:rStyle w:val="Hyperlink"/>
                </w:rPr>
                <w:t xml:space="preserve">25</w:t>
              </w:r>
            </w:hyperlink>
            <w:r>
              <w:t xml:space="preserve">, </w:t>
            </w:r>
            <w:hyperlink r:id="rId22" w:history="1">
              <w:r>
                <w:rPr>
                  <w:rStyle w:val="Hyperlink"/>
                </w:rPr>
                <w:t xml:space="preserve">26</w:t>
              </w:r>
            </w:hyperlink>
            <w:r>
              <w:t xml:space="preserve">); внутренний регламент не публичен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4. Подтвердить и оформить чек</w:t>
            </w:r>
          </w:p>
        </w:tc>
        <w:tc>
          <w:tcPr>
            <w:tcW w:w="4680" w:type="dxa"/>
          </w:tcPr>
          <w:p>
            <w:pPr/>
            <w:r>
              <w:t xml:space="preserve">чеки по 54-ФЗ в составе услуги (</w:t>
            </w:r>
            <w:hyperlink r:id="rId14" w:history="1">
              <w:r>
                <w:rPr>
                  <w:rStyle w:val="Hyperlink"/>
                </w:rPr>
                <w:t xml:space="preserve">25</w:t>
              </w:r>
            </w:hyperlink>
            <w:r>
              <w:t xml:space="preserve">); передача маркировки товаров упрощена для WordPress и OpenCart 28.07.2026 (</w:t>
            </w:r>
            <w:hyperlink r:id="rId20" w:history="1">
              <w:r>
                <w:rPr>
                  <w:rStyle w:val="Hyperlink"/>
                </w:rPr>
                <w:t xml:space="preserve">5</w:t>
              </w:r>
            </w:hyperlink>
            <w:r>
              <w:t xml:space="preserve">)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5. Рассчитаться с магазином</w:t>
            </w:r>
          </w:p>
        </w:tc>
        <w:tc>
          <w:tcPr>
            <w:tcW w:w="4680" w:type="dxa"/>
          </w:tcPr>
          <w:p>
            <w:pPr/>
            <w:r>
              <w:t xml:space="preserve">удержание комиссии; в услугах также сплитование, безопасные сделки, массовые выплаты (</w:t>
            </w:r>
            <w:hyperlink r:id="rId14" w:history="1">
              <w:r>
                <w:rPr>
                  <w:rStyle w:val="Hyperlink"/>
                </w:rPr>
                <w:t xml:space="preserve">25</w:t>
              </w:r>
            </w:hyperlink>
            <w:r>
              <w:t xml:space="preserve">); из комиссионных доходов 2023 года остаётся ≈29% (</w:t>
            </w:r>
            <w:hyperlink r:id="rId10" w:history="1">
              <w:r>
                <w:rPr>
                  <w:rStyle w:val="Hyperlink"/>
                </w:rPr>
                <w:t xml:space="preserve">6</w:t>
              </w:r>
            </w:hyperlink>
            <w:r>
              <w:t xml:space="preserve">)</w:t>
            </w:r>
          </w:p>
        </w:tc>
      </w:tr>
    </w:tbl>
    <w:p>
      <w:pPr/>
      <w:r>
        <w:t xml:space="preserve">За 2023–2026 годы в проверенных источниках — один сбой (17.02.2023, «проблема в сети», магазины ЮKassa не принимали оплату картами, длительность не объявлена, </w:t>
      </w:r>
      <w:hyperlink r:id="rId25" w:history="1">
        <w:r>
          <w:rPr>
            <w:rStyle w:val="Hyperlink"/>
          </w:rPr>
          <w:t xml:space="preserve">19</w:t>
        </w:r>
      </w:hyperlink>
      <w:r>
        <w:t xml:space="preserve">); других публичных нарушений процесса не найдено — по этим данным процесс выглядит устойчивым.</w:t>
      </w:r>
    </w:p>
    <w:p>
      <w:pPr>
        <w:pStyle w:val="Heading2"/>
      </w:pPr>
      <w:r>
        <w:t xml:space="preserve">5. ИТ-функция</w:t>
      </w:r>
    </w:p>
    <w:p>
      <w:pPr/>
      <w:r>
        <w:t xml:space="preserve">ИТ — значительная часть бизнеса: 1124 сотрудника, 456 — ИТ-специалисты (внутренние данные).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Параметр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Что найдено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Размер и класс</w:t>
            </w:r>
          </w:p>
        </w:tc>
        <w:tc>
          <w:tcPr>
            <w:tcW w:w="4680" w:type="dxa"/>
          </w:tcPr>
          <w:p>
            <w:pPr/>
            <w:r>
              <w:t xml:space="preserve">крупный: 1124 сотрудника; входит в экосистему Сбера; отрасль — финтех под надзором ЦБ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Продуктовая разработка</w:t>
            </w:r>
          </w:p>
        </w:tc>
        <w:tc>
          <w:tcPr>
            <w:tcW w:w="4680" w:type="dxa"/>
          </w:tcPr>
          <w:p>
            <w:pPr/>
            <w:r>
              <w:t xml:space="preserve">делает сам продукт: платёжные сервисы, ЮSoft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Внутренняя ИТ и ИБ</w:t>
            </w:r>
          </w:p>
        </w:tc>
        <w:tc>
          <w:tcPr>
            <w:tcW w:w="4680" w:type="dxa"/>
          </w:tcPr>
          <w:p>
            <w:pPr/>
            <w:r>
              <w:t xml:space="preserve">456 ИТ-специалистов: администраторы, мониторинг, отдел ИБ; свои библиотеки (внутренние данные)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Каталог услуг</w:t>
            </w:r>
          </w:p>
        </w:tc>
        <w:tc>
          <w:tcPr>
            <w:tcW w:w="4680" w:type="dxa"/>
          </w:tcPr>
          <w:p>
            <w:pPr/>
            <w:r>
              <w:t xml:space="preserve">внутреннего каталога с владельцами и SLA не найдено; ЮKassa и ЮSoft описаны как продукты со своими владельцами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Поставщики</w:t>
            </w:r>
          </w:p>
        </w:tc>
        <w:tc>
          <w:tcPr>
            <w:tcW w:w="4680" w:type="dxa"/>
          </w:tcPr>
          <w:p>
            <w:pPr/>
            <w:r>
              <w:t xml:space="preserve"> Dr.Web (вендор, сертификаты ФСТЭК, Минобороны, ФСБ) — для защиты рабочих мест (</w:t>
            </w:r>
            <w:hyperlink r:id="rId26" w:history="1">
              <w:r>
                <w:rPr>
                  <w:rStyle w:val="Hyperlink"/>
                </w:rPr>
                <w:t xml:space="preserve">16</w:t>
              </w:r>
            </w:hyperlink>
            <w:r>
              <w:t xml:space="preserve">, </w:t>
            </w:r>
            <w:hyperlink r:id="rId27" w:history="1">
              <w:r>
                <w:rPr>
                  <w:rStyle w:val="Hyperlink"/>
                </w:rPr>
                <w:t xml:space="preserve">17</w:t>
              </w:r>
            </w:hyperlink>
            <w:r>
              <w:t xml:space="preserve">); кто контролирует поставщиков — не найдено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Руководство</w:t>
            </w:r>
          </w:p>
        </w:tc>
        <w:tc>
          <w:tcPr>
            <w:tcW w:w="4680" w:type="dxa"/>
          </w:tcPr>
          <w:p>
            <w:pPr/>
            <w:r>
              <w:t xml:space="preserve">генеральный директор Иван Глазачев (</w:t>
            </w:r>
            <w:hyperlink r:id="rId8" w:history="1">
              <w:r>
                <w:rPr>
                  <w:rStyle w:val="Hyperlink"/>
                </w:rPr>
                <w:t xml:space="preserve">22</w:t>
              </w:r>
            </w:hyperlink>
            <w:r>
              <w:t xml:space="preserve">); у ЮSoft отдельный руководитель (</w:t>
            </w:r>
            <w:hyperlink r:id="rId15" w:history="1">
              <w:r>
                <w:rPr>
                  <w:rStyle w:val="Hyperlink"/>
                </w:rPr>
                <w:t xml:space="preserve">23</w:t>
              </w:r>
            </w:hyperlink>
            <w:r>
              <w:t xml:space="preserve">); CIO/CTO </w:t>
            </w:r>
          </w:p>
        </w:tc>
      </w:tr>
    </w:tbl>
    <w:p>
      <w:pPr>
        <w:pStyle w:val="Heading2"/>
      </w:pPr>
      <w:r>
        <w:t xml:space="preserve">6. Связь и безопасность</w:t>
      </w:r>
    </w:p>
    <w:p>
      <w:pPr/>
      <w:r>
        <w:t xml:space="preserve">Отдел ИБ есть в штате. Владельцев почты, телефонии, видеосвязи и VPN в открытых источниках не установлено — это пробел данных, не оценка качества.</w:t>
      </w:r>
    </w:p>
    <w:p>
      <w:pPr/>
      <w:r>
        <w:rPr>
          <w:b/>
        </w:rPr>
        <w:t xml:space="preserve">Кто что держит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Услуга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Владелец и откуда известно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Информационная безопасность</w:t>
            </w:r>
          </w:p>
        </w:tc>
        <w:tc>
          <w:tcPr>
            <w:tcW w:w="4680" w:type="dxa"/>
          </w:tcPr>
          <w:p>
            <w:pPr/>
            <w:r>
              <w:t xml:space="preserve">отдел ИБ; защита рабочих мест — Dr.Web, закупка через X-Com (</w:t>
            </w:r>
            <w:hyperlink r:id="rId26" w:history="1">
              <w:r>
                <w:rPr>
                  <w:rStyle w:val="Hyperlink"/>
                </w:rPr>
                <w:t xml:space="preserve">16</w:t>
              </w:r>
            </w:hyperlink>
            <w:r>
              <w:t xml:space="preserve">)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Мессенджер</w:t>
            </w:r>
          </w:p>
        </w:tc>
        <w:tc>
          <w:tcPr>
            <w:tcW w:w="4680" w:type="dxa"/>
          </w:tcPr>
          <w:p>
            <w:pPr/>
            <w:r>
              <w:t xml:space="preserve">коммуникация в Telegram (внутренние и публичные каналы)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Почта, телефония, видеосвязь, VPN, доступы, резервные копии</w:t>
            </w:r>
          </w:p>
        </w:tc>
        <w:tc>
          <w:tcPr>
            <w:tcW w:w="4680" w:type="dxa"/>
          </w:tcPr>
          <w:p>
            <w:pPr/>
            <w:r>
              <w:t xml:space="preserve">Внутрении каналы, внутрении средства</w:t>
            </w:r>
          </w:p>
        </w:tc>
      </w:tr>
    </w:tbl>
    <w:p>
      <w:pPr/>
      <w:r>
        <w:rPr>
          <w:b/>
        </w:rPr>
        <w:t xml:space="preserve">Публичные инциденты</w:t>
      </w:r>
      <w:r>
        <w:t xml:space="preserve"> (новые сверху)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Дата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Событие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Последствие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26.08–04.09.2024</w:t>
            </w:r>
          </w:p>
        </w:tc>
        <w:tc>
          <w:tcPr>
            <w:tcW w:w="3120" w:type="dxa"/>
          </w:tcPr>
          <w:p>
            <w:pPr/>
            <w:r>
              <w:t xml:space="preserve">исследователь сообщил о CORS-уязвимости личных страниц ЮМани: баланс, e-mail, телефон, карты, история операций (</w:t>
            </w:r>
            <w:hyperlink r:id="rId28" w:history="1">
              <w:r>
                <w:rPr>
                  <w:rStyle w:val="Hyperlink"/>
                </w:rPr>
                <w:t xml:space="preserve">18</w:t>
              </w:r>
            </w:hyperlink>
            <w:r>
              <w:t xml:space="preserve">)</w:t>
            </w:r>
          </w:p>
        </w:tc>
        <w:tc>
          <w:tcPr>
            <w:tcW w:w="3120" w:type="dxa"/>
          </w:tcPr>
          <w:p>
            <w:pPr/>
            <w:r>
              <w:t xml:space="preserve">закрыта примерно за 9 дней; вознаграждение (до 400 тыс. ₽ за критическую) не выплачено, отчёт отмечен «дубликатом»; всё — со слов автора, версия компании не найдена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17.02.2023</w:t>
            </w:r>
          </w:p>
        </w:tc>
        <w:tc>
          <w:tcPr>
            <w:tcW w:w="3120" w:type="dxa"/>
          </w:tcPr>
          <w:p>
            <w:pPr/>
            <w:r>
              <w:t xml:space="preserve">сбой ЮMoney и ЮKassa «проблема в сети» (</w:t>
            </w:r>
            <w:hyperlink r:id="rId25" w:history="1">
              <w:r>
                <w:rPr>
                  <w:rStyle w:val="Hyperlink"/>
                </w:rPr>
                <w:t xml:space="preserve">19</w:t>
              </w:r>
            </w:hyperlink>
            <w:r>
              <w:t xml:space="preserve">)</w:t>
            </w:r>
          </w:p>
        </w:tc>
        <w:tc>
          <w:tcPr>
            <w:tcW w:w="3120" w:type="dxa"/>
          </w:tcPr>
          <w:p>
            <w:pPr/>
            <w:r>
              <w:t xml:space="preserve">магазины не принимали оплату картами; длительность не объявлена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апрель 2022</w:t>
            </w:r>
          </w:p>
        </w:tc>
        <w:tc>
          <w:tcPr>
            <w:tcW w:w="3120" w:type="dxa"/>
          </w:tcPr>
          <w:p>
            <w:pPr/>
            <w:r>
              <w:t xml:space="preserve">блокирующие санкции США против Сбера, затем ЮMoney в санкционных списках (</w:t>
            </w:r>
            <w:hyperlink r:id="rId11" w:history="1">
              <w:r>
                <w:rPr>
                  <w:rStyle w:val="Hyperlink"/>
                </w:rPr>
                <w:t xml:space="preserve">8</w:t>
              </w:r>
            </w:hyperlink>
            <w:r>
              <w:t xml:space="preserve">)</w:t>
            </w:r>
          </w:p>
        </w:tc>
        <w:tc>
          <w:tcPr>
            <w:tcW w:w="3120" w:type="dxa"/>
          </w:tcPr>
          <w:p>
            <w:pPr/>
            <w:r>
              <w:t xml:space="preserve">комиссионные доходы 2022 года − 22,5% (с 21,8 до 16,9 млрд ₽)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12.01.2021</w:t>
            </w:r>
          </w:p>
        </w:tc>
        <w:tc>
          <w:tcPr>
            <w:tcW w:w="3120" w:type="dxa"/>
          </w:tcPr>
          <w:p>
            <w:pPr/>
            <w:r>
              <w:t xml:space="preserve">ЦБ на 6 месяцев запретил платежи граждан в адрес нерезидентов и переводы от зарубежных фирм; по данным Frank Media, потоки шли в онлайн-казино и к нелегальным букмекерам (</w:t>
            </w:r>
            <w:hyperlink r:id="rId29" w:history="1">
              <w:r>
                <w:rPr>
                  <w:rStyle w:val="Hyperlink"/>
                </w:rPr>
                <w:t xml:space="preserve">20</w:t>
              </w:r>
            </w:hyperlink>
            <w:r>
              <w:t xml:space="preserve">)</w:t>
            </w:r>
          </w:p>
        </w:tc>
        <w:tc>
          <w:tcPr>
            <w:tcW w:w="3120" w:type="dxa"/>
          </w:tcPr>
          <w:p>
            <w:pPr/>
            <w:r>
              <w:t xml:space="preserve">компания заявила, что попало «небольшое число компаний»; аналогичный запрет к QIWI обрушил её акции на 20%</w:t>
            </w:r>
          </w:p>
        </w:tc>
      </w:tr>
    </w:tbl>
    <w:p>
      <w:pPr/>
      <w:r>
        <w:t xml:space="preserve">За 2023–2026 годы в проверенных источниках найден один публичный сбой сервиса и одна публичная уязвимость; утечек данных клиентов в проверенных источниках не найдено.</w:t>
      </w:r>
    </w:p>
    <w:p>
      <w:pPr/>
    </w:p>
    <w:p>
      <w:pPr>
        <w:pStyle w:val="Heading2"/>
      </w:pPr>
      <w:r>
        <w:t xml:space="preserve">7. Состояние ИТ</w:t>
      </w:r>
    </w:p>
    <w:p>
      <w:pPr/>
      <w:r>
        <w:t xml:space="preserve">Выбранное состояние — </w:t>
      </w:r>
      <w:r>
        <w:rPr>
          <w:b/>
        </w:rPr>
        <w:t xml:space="preserve">поставщик услуг</w:t>
      </w:r>
      <w:r>
        <w:t xml:space="preserve">, определено методом исключения: ниже видно, почему это не служба и не партнёр. Самоназвание компании в диагноз не входит.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F2F2F2"/>
          </w:tcPr>
          <w:p>
            <w:pPr/>
            <w:r>
              <w:t xml:space="preserve">Состояние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Признак из задания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Что видно у ЮMoney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Итог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Служба</w:t>
            </w:r>
          </w:p>
        </w:tc>
        <w:tc>
          <w:tcPr>
            <w:tcW w:w="2340" w:type="dxa"/>
          </w:tcPr>
          <w:p>
            <w:pPr/>
            <w:r>
              <w:t xml:space="preserve">нет каталога услуг; ИТ узнаёт о задаче после решения</w:t>
            </w:r>
          </w:p>
        </w:tc>
        <w:tc>
          <w:tcPr>
            <w:tcW w:w="2340" w:type="dxa"/>
          </w:tcPr>
          <w:p>
            <w:pPr/>
            <w:r>
              <w:t xml:space="preserve">ИТ владеет продуктами (ЮKassa, ЮSoft с отдельным руководителем, </w:t>
            </w:r>
            <w:hyperlink r:id="rId15" w:history="1">
              <w:r>
                <w:rPr>
                  <w:rStyle w:val="Hyperlink"/>
                </w:rPr>
                <w:t xml:space="preserve">23</w:t>
              </w:r>
            </w:hyperlink>
            <w:r>
              <w:t xml:space="preserve">), а не выполняет чужие заявки</w:t>
            </w:r>
          </w:p>
        </w:tc>
        <w:tc>
          <w:tcPr>
            <w:tcW w:w="2340" w:type="dxa"/>
          </w:tcPr>
          <w:p>
            <w:pPr/>
            <w:r>
              <w:t xml:space="preserve">не подходит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Поставщик услуг</w:t>
            </w:r>
          </w:p>
        </w:tc>
        <w:tc>
          <w:tcPr>
            <w:tcW w:w="2340" w:type="dxa"/>
          </w:tcPr>
          <w:p>
            <w:pPr/>
            <w:r>
              <w:t xml:space="preserve">есть каталог с владельцами и целевыми уровнями, по ним отчётность</w:t>
            </w:r>
          </w:p>
        </w:tc>
        <w:tc>
          <w:tcPr>
            <w:tcW w:w="2340" w:type="dxa"/>
          </w:tcPr>
          <w:p>
            <w:pPr/>
            <w:r>
              <w:t xml:space="preserve">ИТ не служба (владеет продуктами) и не партнёр (см. ниже) — по методу исключения поставщик услуг. Внешняя подотчётность подтверждена: регулятор задаёт обязательные, измеримые уровни защиты (821-П, </w:t>
            </w:r>
            <w:hyperlink r:id="rId30" w:history="1">
              <w:r>
                <w:rPr>
                  <w:rStyle w:val="Hyperlink"/>
                </w:rPr>
                <w:t xml:space="preserve">30</w:t>
              </w:r>
            </w:hyperlink>
            <w:r>
              <w:t xml:space="preserve">) и требует конкретных средств защиты (</w:t>
            </w:r>
            <w:hyperlink r:id="rId26" w:history="1">
              <w:r>
                <w:rPr>
                  <w:rStyle w:val="Hyperlink"/>
                </w:rPr>
                <w:t xml:space="preserve">16</w:t>
              </w:r>
            </w:hyperlink>
            <w:r>
              <w:t xml:space="preserve">); клиенты ЮKassa — сторона, перед которой есть обязательства по доступности сервиса. Публикации каталога услуг и отчёта по SLA не нашёл.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выбрано</w:t>
            </w:r>
            <w:r>
              <w:t xml:space="preserve"> (метод исключения + внешняя подотчётность)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Партнёр</w:t>
            </w:r>
          </w:p>
        </w:tc>
        <w:tc>
          <w:tcPr>
            <w:tcW w:w="2340" w:type="dxa"/>
          </w:tcPr>
          <w:p>
            <w:pPr/>
            <w:r>
              <w:t xml:space="preserve">ИТ в решении до требований; стратег при собственнике</w:t>
            </w:r>
          </w:p>
        </w:tc>
        <w:tc>
          <w:tcPr>
            <w:tcW w:w="2340" w:type="dxa"/>
          </w:tcPr>
          <w:p>
            <w:pPr/>
            <w:r>
              <w:t xml:space="preserve">продукты выходят регулярно (ЮSoft — 09.2025, карта для туристов — 08.2026, MCP-сервер — 09.2026, </w:t>
            </w:r>
            <w:hyperlink r:id="rId20" w:history="1">
              <w:r>
                <w:rPr>
                  <w:rStyle w:val="Hyperlink"/>
                </w:rPr>
                <w:t xml:space="preserve">5</w:t>
              </w:r>
            </w:hyperlink>
            <w:r>
              <w:t xml:space="preserve">), но ни разу не раскрыт посчитанный эффект инициативы; постоянный стратег/CIO при собственнике не назван (</w:t>
            </w:r>
            <w:hyperlink r:id="rId15" w:history="1">
              <w:r>
                <w:rPr>
                  <w:rStyle w:val="Hyperlink"/>
                </w:rPr>
                <w:t xml:space="preserve">23</w:t>
              </w:r>
            </w:hyperlink>
            <w:r>
              <w:t xml:space="preserve">)</w:t>
            </w:r>
          </w:p>
        </w:tc>
        <w:tc>
          <w:tcPr>
            <w:tcW w:w="2340" w:type="dxa"/>
          </w:tcPr>
          <w:p>
            <w:pPr/>
            <w:r>
              <w:t xml:space="preserve">нет — эффект инициатив нигде не раскрыт</w:t>
            </w:r>
          </w:p>
        </w:tc>
      </w:tr>
    </w:tbl>
    <w:p>
      <w:pPr/>
      <w:r>
        <w:t xml:space="preserve">Продуктовая разработка ближе к поставщику услуг, чем к партнёру: посчитанного эффекта от новых продуктов (ЮSoft, MCP-сервер) нигде не раскрыто, а сами продукты запущены недавно — судить о партнёрстве рано. Для внутренней ИТ и ИБ вывод тот же и жёстче: каталога услуг с SLA нет, а защита закупается по требованию регулятора, не по решению стратега.</w:t>
      </w:r>
    </w:p>
    <w:p>
      <w:pPr>
        <w:pStyle w:val="Heading2"/>
      </w:pPr>
      <w:r>
        <w:t xml:space="preserve">8. Зоны по блокам</w:t>
      </w:r>
    </w:p>
    <w:p>
      <w:pPr/>
      <w:r>
        <w:t xml:space="preserve">Зелёные зоны — клиенты и каналы, ключевые процессы, ИТ-функция и состояние ИТ; жёлтые — направления (концентрация выручки) и связь с безопасностью (владельцы каналов не установлены). Красной нет — подтверждённого признака отказа не нашлось ни по одному блоку.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Блок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Зона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Признак в одну строку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2. Направления</w:t>
            </w:r>
          </w:p>
        </w:tc>
        <w:tc>
          <w:tcPr>
            <w:tcW w:w="3120" w:type="dxa"/>
          </w:tcPr>
          <w:p>
            <w:pPr/>
            <w:r>
              <w:t xml:space="preserve">🟡</w:t>
            </w:r>
          </w:p>
        </w:tc>
        <w:tc>
          <w:tcPr>
            <w:tcW w:w="3120" w:type="dxa"/>
          </w:tcPr>
          <w:p>
            <w:pPr/>
            <w:r>
              <w:t xml:space="preserve">около 89% трёх выделенных статей комиссии — из одного направления (интернет-магазины), маржа с комиссии ≈ 29% (</w:t>
            </w:r>
            <w:hyperlink r:id="rId9" w:history="1">
              <w:r>
                <w:rPr>
                  <w:rStyle w:val="Hyperlink"/>
                </w:rPr>
                <w:t xml:space="preserve">7</w:t>
              </w:r>
            </w:hyperlink>
            <w:r>
              <w:t xml:space="preserve">, </w:t>
            </w:r>
            <w:hyperlink r:id="rId10" w:history="1">
              <w:r>
                <w:rPr>
                  <w:rStyle w:val="Hyperlink"/>
                </w:rPr>
                <w:t xml:space="preserve">6</w:t>
              </w:r>
            </w:hyperlink>
            <w:r>
              <w:t xml:space="preserve">)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3. Клиенты и каналы</w:t>
            </w:r>
          </w:p>
        </w:tc>
        <w:tc>
          <w:tcPr>
            <w:tcW w:w="3120" w:type="dxa"/>
          </w:tcPr>
          <w:p>
            <w:pPr/>
            <w:r>
              <w:t xml:space="preserve">🟢</w:t>
            </w:r>
          </w:p>
        </w:tc>
        <w:tc>
          <w:tcPr>
            <w:tcW w:w="3120" w:type="dxa"/>
          </w:tcPr>
          <w:p>
            <w:pPr/>
            <w:r>
              <w:t xml:space="preserve">первое место по выручке девятый квартал подряд, 37,6–40% магазинов Рунета (самооценка); оговорка: рост замедлился с +16% до +12% (</w:t>
            </w:r>
            <w:hyperlink r:id="rId20" w:history="1">
              <w:r>
                <w:rPr>
                  <w:rStyle w:val="Hyperlink"/>
                </w:rPr>
                <w:t xml:space="preserve">5</w:t>
              </w:r>
            </w:hyperlink>
            <w:r>
              <w:t xml:space="preserve">, </w:t>
            </w:r>
            <w:hyperlink r:id="rId12" w:history="1">
              <w:r>
                <w:rPr>
                  <w:rStyle w:val="Hyperlink"/>
                </w:rPr>
                <w:t xml:space="preserve">3</w:t>
              </w:r>
            </w:hyperlink>
            <w:r>
              <w:t xml:space="preserve">, </w:t>
            </w:r>
            <w:hyperlink r:id="rId13" w:history="1">
              <w:r>
                <w:rPr>
                  <w:rStyle w:val="Hyperlink"/>
                </w:rPr>
                <w:t xml:space="preserve">4</w:t>
              </w:r>
            </w:hyperlink>
            <w:r>
              <w:t xml:space="preserve">)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4. Ключевые процессы</w:t>
            </w:r>
          </w:p>
        </w:tc>
        <w:tc>
          <w:tcPr>
            <w:tcW w:w="3120" w:type="dxa"/>
          </w:tcPr>
          <w:p>
            <w:pPr/>
            <w:r>
              <w:t xml:space="preserve">🟢</w:t>
            </w:r>
          </w:p>
        </w:tc>
        <w:tc>
          <w:tcPr>
            <w:tcW w:w="3120" w:type="dxa"/>
          </w:tcPr>
          <w:p>
            <w:pPr/>
            <w:r>
              <w:t xml:space="preserve">процесс из 5 шагов описан по открытым источникам; за 2023–2026 годы только один сбой (17.02.2023), других публичных нарушений не найдено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5. ИТ-функция</w:t>
            </w:r>
          </w:p>
        </w:tc>
        <w:tc>
          <w:tcPr>
            <w:tcW w:w="3120" w:type="dxa"/>
          </w:tcPr>
          <w:p>
            <w:pPr/>
            <w:r>
              <w:t xml:space="preserve">🟢</w:t>
            </w:r>
          </w:p>
        </w:tc>
        <w:tc>
          <w:tcPr>
            <w:tcW w:w="3120" w:type="dxa"/>
          </w:tcPr>
          <w:p>
            <w:pPr/>
            <w:r>
              <w:t xml:space="preserve">1124 сотрудника, 456 в ИТ (внутренние данные); ИТ владеет продуктами с названными руководителями; внешние сервисы (ЮKassa, ЮSoft) описаны как продукты со своими владельцами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6. Связь и безопасность</w:t>
            </w:r>
          </w:p>
        </w:tc>
        <w:tc>
          <w:tcPr>
            <w:tcW w:w="3120" w:type="dxa"/>
          </w:tcPr>
          <w:p>
            <w:pPr/>
            <w:r>
              <w:t xml:space="preserve">🟡 (самый слабый блок)</w:t>
            </w:r>
          </w:p>
        </w:tc>
        <w:tc>
          <w:tcPr>
            <w:tcW w:w="3120" w:type="dxa"/>
          </w:tcPr>
          <w:p>
            <w:pPr/>
            <w:r>
              <w:t xml:space="preserve">владельцы почты, мессенджера, телефонии, VPN и резервных копий не установлены по открытым источникам; при этом отдел ИБ в штате и использует сертифицированные средства защиты рабочих мест (</w:t>
            </w:r>
            <w:hyperlink r:id="rId26" w:history="1">
              <w:r>
                <w:rPr>
                  <w:rStyle w:val="Hyperlink"/>
                </w:rPr>
                <w:t xml:space="preserve">16</w:t>
              </w:r>
            </w:hyperlink>
            <w:r>
              <w:t xml:space="preserve">)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7. Состояние ИТ</w:t>
            </w:r>
          </w:p>
        </w:tc>
        <w:tc>
          <w:tcPr>
            <w:tcW w:w="3120" w:type="dxa"/>
          </w:tcPr>
          <w:p>
            <w:pPr/>
            <w:r>
              <w:t xml:space="preserve">🟢</w:t>
            </w:r>
          </w:p>
        </w:tc>
        <w:tc>
          <w:tcPr>
            <w:tcW w:w="3120" w:type="dxa"/>
          </w:tcPr>
          <w:p>
            <w:pPr/>
            <w:r>
              <w:t xml:space="preserve">методом исключения: не служба (владеет продуктами) и не партнёр (эффект нигде не раскрыт); поставщик услуг подтверждён внешней, измеримой подотчётностью регулятору и клиентам ЮKassa</w:t>
            </w:r>
          </w:p>
        </w:tc>
      </w:tr>
    </w:tbl>
    <w:p>
      <w:pPr/>
      <w:r>
        <w:t xml:space="preserve">Места для гипотез роста выручки в Пр2:</w:t>
      </w:r>
    </w:p>
    <w:p>
      <w:pPr>
        <w:pStyle w:val="ListParagraph"/>
        <w:numPr>
          <w:ilvl w:val="0"/>
          <w:numId w:val="2"/>
        </w:numPr>
      </w:pPr>
      <w:r>
        <w:t xml:space="preserve">Диверсификация за пределами ЮKassa: ≈ 89% комиссии держит один сегмент (интернет-эквайринг) при марже ≈ 29% — это самый крупный неиспользованный резерв: любой прирост доли карт, ЮBusiness и других направлений напрямую снижает эту зависимость и даёт измеримый прирост выручки;</w:t>
      </w:r>
    </w:p>
    <w:p>
      <w:pPr>
        <w:pStyle w:val="ListParagraph"/>
        <w:numPr>
          <w:ilvl w:val="0"/>
          <w:numId w:val="2"/>
        </w:numPr>
      </w:pPr>
      <w:r>
        <w:t xml:space="preserve">ЮSoft (BaaS, запуск 09.2025): встраивание сервисов ЮMoney в чужие продукты (маркетплейсы, МФО, страховые) открывает канал выручки без затрат на привлечение собственных клиентов (B2B2C); платформа работает уже год, так что в Пр2 есть на чём считать эффект и темп масштабирования;</w:t>
      </w:r>
    </w:p>
    <w:p>
      <w:pPr>
        <w:pStyle w:val="ListParagraph"/>
        <w:numPr>
          <w:ilvl w:val="0"/>
          <w:numId w:val="2"/>
        </w:numPr>
      </w:pPr>
      <w:r>
        <w:t xml:space="preserve">Новые сегменты сверх основного бизнеса: карта для туристов из Китая (08.2026) — новый поток трансграничных клиентов, MCP-сервер для ИИ-агентов (09.2026) — выход в сегмент автономных платежей; оба запущены на фоне замедления рынка (+16% → +9–12%), значит добавляют выручку сверх органического роста основного направления, а не компенсируют его замедление.</w:t>
      </w:r>
    </w:p>
    <w:p>
      <w:pPr>
        <w:pStyle w:val="Heading2"/>
      </w:pPr>
      <w:r>
        <w:t xml:space="preserve">9. Реестр допущений</w:t>
      </w:r>
    </w:p>
    <w:p>
      <w:pPr/>
      <w:r>
        <w:t xml:space="preserve">Реестр живёт до ПР5 и пополняется в каждой работе. Строки с меткой «не найдено» — это открытые вопросы, а не оценки.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w="1872" w:type="dxa"/>
            <w:shd w:val="clear" w:color="auto" w:fill="F2F2F2"/>
          </w:tcPr>
          <w:p>
            <w:pPr/>
            <w:r>
              <w:t xml:space="preserve">№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Цифра или утверждение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Откуда оценка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Уверенность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Как проверить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А1</w:t>
            </w:r>
          </w:p>
        </w:tc>
        <w:tc>
          <w:tcPr>
            <w:tcW w:w="1872" w:type="dxa"/>
          </w:tcPr>
          <w:p>
            <w:pPr/>
            <w:r>
              <w:t xml:space="preserve">Доли направлений 89% / 6% / 4%</w:t>
            </w:r>
          </w:p>
        </w:tc>
        <w:tc>
          <w:tcPr>
            <w:tcW w:w="1872" w:type="dxa"/>
          </w:tcPr>
          <w:p>
            <w:pPr/>
            <w:r>
              <w:t xml:space="preserve">расчёт по трём статьям РСБУ за I полугодие 2024; допущение, что «комиссии от интернет-магазинов» = ЮKassa; карты, ЮSoft, ЮBusiness в эти статьи не выделены</w:t>
            </w:r>
          </w:p>
        </w:tc>
        <w:tc>
          <w:tcPr>
            <w:tcW w:w="1872" w:type="dxa"/>
          </w:tcPr>
          <w:p>
            <w:pPr/>
            <w:r>
              <w:t xml:space="preserve">низкая</w:t>
            </w:r>
          </w:p>
        </w:tc>
        <w:tc>
          <w:tcPr>
            <w:tcW w:w="1872" w:type="dxa"/>
          </w:tcPr>
          <w:p>
            <w:pPr/>
            <w:r>
              <w:t xml:space="preserve">годовая РСБУ 2024–2025, интервью с финансами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А2</w:t>
            </w:r>
          </w:p>
        </w:tc>
        <w:tc>
          <w:tcPr>
            <w:tcW w:w="1872" w:type="dxa"/>
          </w:tcPr>
          <w:p>
            <w:pPr/>
            <w:r>
              <w:t xml:space="preserve">Маржа с комиссии ≈ 29%</w:t>
            </w:r>
          </w:p>
        </w:tc>
        <w:tc>
          <w:tcPr>
            <w:tcW w:w="1872" w:type="dxa"/>
          </w:tcPr>
          <w:p>
            <w:pPr/>
            <w:r>
              <w:t xml:space="preserve">расчёт (19,77 − 14,01) / 19,77 по РСБУ 2023; что входит в комиссионные расходы (банки-партнёры, платёжные сети), не раскрыто</w:t>
            </w:r>
          </w:p>
        </w:tc>
        <w:tc>
          <w:tcPr>
            <w:tcW w:w="1872" w:type="dxa"/>
          </w:tcPr>
          <w:p>
            <w:pPr/>
            <w:r>
              <w:t xml:space="preserve">средняя</w:t>
            </w:r>
          </w:p>
        </w:tc>
        <w:tc>
          <w:tcPr>
            <w:tcW w:w="1872" w:type="dxa"/>
          </w:tcPr>
          <w:p>
            <w:pPr/>
            <w:r>
              <w:t xml:space="preserve">пояснительная записка к отчётности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А3</w:t>
            </w:r>
          </w:p>
        </w:tc>
        <w:tc>
          <w:tcPr>
            <w:tcW w:w="1872" w:type="dxa"/>
          </w:tcPr>
          <w:p>
            <w:pPr/>
            <w:r>
              <w:t xml:space="preserve">Час простоя ≈ 3,1 млн ₽ выручки</w:t>
            </w:r>
          </w:p>
        </w:tc>
        <w:tc>
          <w:tcPr>
            <w:tcW w:w="1872" w:type="dxa"/>
          </w:tcPr>
          <w:p>
            <w:pPr/>
            <w:r>
              <w:t xml:space="preserve">расчёт: 27,55 млрд / 8760 ч; среднее, не пик; без потерь магазинов</w:t>
            </w:r>
          </w:p>
        </w:tc>
        <w:tc>
          <w:tcPr>
            <w:tcW w:w="1872" w:type="dxa"/>
          </w:tcPr>
          <w:p>
            <w:pPr/>
            <w:r>
              <w:t xml:space="preserve">средняя</w:t>
            </w:r>
          </w:p>
        </w:tc>
        <w:tc>
          <w:tcPr>
            <w:tcW w:w="1872" w:type="dxa"/>
          </w:tcPr>
          <w:p>
            <w:pPr/>
            <w:r>
              <w:t xml:space="preserve">графики нагрузки, интервью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А4</w:t>
            </w:r>
          </w:p>
        </w:tc>
        <w:tc>
          <w:tcPr>
            <w:tcW w:w="1872" w:type="dxa"/>
          </w:tcPr>
          <w:p>
            <w:pPr/>
            <w:r>
              <w:t xml:space="preserve">ЮKassa у 37,6% (2023) / 40% (2025) магазинов Рунета</w:t>
            </w:r>
          </w:p>
        </w:tc>
        <w:tc>
          <w:tcPr>
            <w:tcW w:w="1872" w:type="dxa"/>
          </w:tcPr>
          <w:p>
            <w:pPr/>
            <w:r>
              <w:t xml:space="preserve">самооценка компании, методика не раскрыта</w:t>
            </w:r>
          </w:p>
        </w:tc>
        <w:tc>
          <w:tcPr>
            <w:tcW w:w="1872" w:type="dxa"/>
          </w:tcPr>
          <w:p>
            <w:pPr/>
            <w:r>
              <w:t xml:space="preserve">низкая–средняя</w:t>
            </w:r>
          </w:p>
        </w:tc>
        <w:tc>
          <w:tcPr>
            <w:tcW w:w="1872" w:type="dxa"/>
          </w:tcPr>
          <w:p>
            <w:pPr/>
            <w:r>
              <w:t xml:space="preserve">сторонние исследования рынка эквайринга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А5</w:t>
            </w:r>
          </w:p>
        </w:tc>
        <w:tc>
          <w:tcPr>
            <w:tcW w:w="1872" w:type="dxa"/>
          </w:tcPr>
          <w:p>
            <w:pPr/>
            <w:r>
              <w:t xml:space="preserve">160 тыс. и 266+ тыс. площадок</w:t>
            </w:r>
          </w:p>
        </w:tc>
        <w:tc>
          <w:tcPr>
            <w:tcW w:w="1872" w:type="dxa"/>
          </w:tcPr>
          <w:p>
            <w:pPr/>
            <w:r>
              <w:t xml:space="preserve">расходящиеся заявления разных лет; в расчётах не используются</w:t>
            </w:r>
          </w:p>
        </w:tc>
        <w:tc>
          <w:tcPr>
            <w:tcW w:w="1872" w:type="dxa"/>
          </w:tcPr>
          <w:p>
            <w:pPr/>
            <w:r>
              <w:t xml:space="preserve">низкая</w:t>
            </w:r>
          </w:p>
        </w:tc>
        <w:tc>
          <w:tcPr>
            <w:tcW w:w="1872" w:type="dxa"/>
          </w:tcPr>
          <w:p>
            <w:pPr/>
            <w:r>
              <w:t xml:space="preserve">уточнить определение «площадки»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А6</w:t>
            </w:r>
          </w:p>
        </w:tc>
        <w:tc>
          <w:tcPr>
            <w:tcW w:w="1872" w:type="dxa"/>
          </w:tcPr>
          <w:p>
            <w:pPr/>
            <w:r>
              <w:t xml:space="preserve">Около 100 млн кошельков</w:t>
            </w:r>
          </w:p>
        </w:tc>
        <w:tc>
          <w:tcPr>
            <w:tcW w:w="1872" w:type="dxa"/>
          </w:tcPr>
          <w:p>
            <w:pPr/>
            <w:r>
              <w:t xml:space="preserve">зарегистрированных, не активных; активная база не найдена</w:t>
            </w:r>
          </w:p>
        </w:tc>
        <w:tc>
          <w:tcPr>
            <w:tcW w:w="1872" w:type="dxa"/>
          </w:tcPr>
          <w:p>
            <w:pPr/>
            <w:r>
              <w:t xml:space="preserve">—</w:t>
            </w:r>
          </w:p>
        </w:tc>
        <w:tc>
          <w:tcPr>
            <w:tcW w:w="1872" w:type="dxa"/>
          </w:tcPr>
          <w:p>
            <w:pPr/>
            <w:r>
              <w:t xml:space="preserve">запрос к компании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А7</w:t>
            </w:r>
          </w:p>
        </w:tc>
        <w:tc>
          <w:tcPr>
            <w:tcW w:w="1872" w:type="dxa"/>
          </w:tcPr>
          <w:p>
            <w:pPr/>
            <w:r>
              <w:t xml:space="preserve">Владельцы почты, мессенджера, телефонии, видеосвязи, VPN, копий</w:t>
            </w:r>
          </w:p>
        </w:tc>
        <w:tc>
          <w:tcPr>
            <w:tcW w:w="1872" w:type="dxa"/>
          </w:tcPr>
          <w:p>
            <w:pPr/>
            <w:r>
              <w:t xml:space="preserve">не найдено</w:t>
            </w:r>
          </w:p>
        </w:tc>
        <w:tc>
          <w:tcPr>
            <w:tcW w:w="1872" w:type="dxa"/>
          </w:tcPr>
          <w:p>
            <w:pPr/>
            <w:r>
              <w:t xml:space="preserve">—</w:t>
            </w:r>
          </w:p>
        </w:tc>
        <w:tc>
          <w:tcPr>
            <w:tcW w:w="1872" w:type="dxa"/>
          </w:tcPr>
          <w:p>
            <w:pPr/>
            <w:r>
              <w:t xml:space="preserve">интервью с ИТ и ИБ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А8</w:t>
            </w:r>
          </w:p>
        </w:tc>
        <w:tc>
          <w:tcPr>
            <w:tcW w:w="1872" w:type="dxa"/>
          </w:tcPr>
          <w:p>
            <w:pPr/>
            <w:r>
              <w:t xml:space="preserve">Инцидент 2024 (CORS)</w:t>
            </w:r>
          </w:p>
        </w:tc>
        <w:tc>
          <w:tcPr>
            <w:tcW w:w="1872" w:type="dxa"/>
          </w:tcPr>
          <w:p>
            <w:pPr/>
            <w:r>
              <w:t xml:space="preserve">всё со слов исследователя на Хабре</w:t>
            </w:r>
          </w:p>
        </w:tc>
        <w:tc>
          <w:tcPr>
            <w:tcW w:w="1872" w:type="dxa"/>
          </w:tcPr>
          <w:p>
            <w:pPr/>
            <w:r>
              <w:t xml:space="preserve">низкая</w:t>
            </w:r>
          </w:p>
        </w:tc>
        <w:tc>
          <w:tcPr>
            <w:tcW w:w="1872" w:type="dxa"/>
          </w:tcPr>
          <w:p>
            <w:pPr/>
            <w:r>
              <w:t xml:space="preserve">официальный ответ компании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А9</w:t>
            </w:r>
          </w:p>
        </w:tc>
        <w:tc>
          <w:tcPr>
            <w:tcW w:w="1872" w:type="dxa"/>
          </w:tcPr>
          <w:p>
            <w:pPr/>
            <w:r>
              <w:t xml:space="preserve">Чистая прибыль 2024–2025, выручка по направлениям, бюджет ИТ и ИБ</w:t>
            </w:r>
          </w:p>
        </w:tc>
        <w:tc>
          <w:tcPr>
            <w:tcW w:w="1872" w:type="dxa"/>
          </w:tcPr>
          <w:p>
            <w:pPr/>
            <w:r>
              <w:t xml:space="preserve">не найдено</w:t>
            </w:r>
          </w:p>
        </w:tc>
        <w:tc>
          <w:tcPr>
            <w:tcW w:w="1872" w:type="dxa"/>
          </w:tcPr>
          <w:p>
            <w:pPr/>
            <w:r>
              <w:t xml:space="preserve">—</w:t>
            </w:r>
          </w:p>
        </w:tc>
        <w:tc>
          <w:tcPr>
            <w:tcW w:w="1872" w:type="dxa"/>
          </w:tcPr>
          <w:p>
            <w:pPr/>
            <w:r>
              <w:t xml:space="preserve">публикуемая отчётность, Интерфакс, интервью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А10</w:t>
            </w:r>
          </w:p>
        </w:tc>
        <w:tc>
          <w:tcPr>
            <w:tcW w:w="1872" w:type="dxa"/>
          </w:tcPr>
          <w:p>
            <w:pPr/>
            <w:r>
              <w:t xml:space="preserve">«Около 13% выручки топ-100» на странице ЮMoney</w:t>
            </w:r>
          </w:p>
        </w:tc>
        <w:tc>
          <w:tcPr>
            <w:tcW w:w="1872" w:type="dxa"/>
          </w:tcPr>
          <w:p>
            <w:pPr/>
            <w:r>
              <w:t xml:space="preserve">не сходится с расчётом 27,55 / 282,723 = 9,7%; использую расчёт (</w:t>
            </w:r>
            <w:hyperlink r:id="rId5" w:history="1">
              <w:r>
                <w:rPr>
                  <w:rStyle w:val="Hyperlink"/>
                </w:rPr>
                <w:t xml:space="preserve">11</w:t>
              </w:r>
            </w:hyperlink>
            <w:r>
              <w:t xml:space="preserve">, </w:t>
            </w:r>
            <w:hyperlink r:id="rId6" w:history="1">
              <w:r>
                <w:rPr>
                  <w:rStyle w:val="Hyperlink"/>
                </w:rPr>
                <w:t xml:space="preserve">1</w:t>
              </w:r>
            </w:hyperlink>
            <w:r>
              <w:t xml:space="preserve">)</w:t>
            </w:r>
          </w:p>
        </w:tc>
        <w:tc>
          <w:tcPr>
            <w:tcW w:w="1872" w:type="dxa"/>
          </w:tcPr>
          <w:p>
            <w:pPr/>
            <w:r>
              <w:t xml:space="preserve">средняя</w:t>
            </w:r>
          </w:p>
        </w:tc>
        <w:tc>
          <w:tcPr>
            <w:tcW w:w="1872" w:type="dxa"/>
          </w:tcPr>
          <w:p>
            <w:pPr/>
            <w:r>
              <w:t xml:space="preserve">методика Smart Ranking</w:t>
            </w:r>
          </w:p>
        </w:tc>
      </w:tr>
    </w:tbl>
    <w:p>
      <w:pPr>
        <w:pStyle w:val="Heading2"/>
      </w:pPr>
      <w:r>
        <w:t xml:space="preserve">Ответы на вопросы самопроверки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Какую цифру не нашёл.</w:t>
      </w:r>
      <w:r>
        <w:t xml:space="preserve"> Чистую прибыль 2024–2025 годов, выручку по направлениям (ЮKassa отдельно от остального), бюджет ИТ и ИБ, число активных клиентов. 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Кто отвечает за связь и безопасность.</w:t>
      </w:r>
      <w:r>
        <w:t xml:space="preserve"> Безопасность держит отдел ИБ — штатное подразделение (закупка защиты рабочих мест через X-Com, </w:t>
      </w:r>
      <w:hyperlink r:id="rId26" w:history="1">
        <w:r>
          <w:rPr>
            <w:rStyle w:val="Hyperlink"/>
          </w:rPr>
          <w:t xml:space="preserve">16</w:t>
        </w:r>
      </w:hyperlink>
      <w:r>
        <w:t xml:space="preserve">). Кто именно держит почту, мессенджер, телефонию, VPN и резервные копии — не установил по открытым источникам, помечено в реестре допущений (№12).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В каком состоянии ИТ и какой признак убедил.</w:t>
      </w:r>
      <w:r>
        <w:t xml:space="preserve"> Поставщик услуг — методом исключения: ИТ владеет продуктами (не служба), но нигде не раскрыт эффект инициатив и нет стратега при собственнике (не партнёр). Подтверждает и внешняя подотчётность: регулятор задаёт измеримые требования к защите (</w:t>
      </w:r>
      <w:hyperlink r:id="rId26" w:history="1">
        <w:r>
          <w:rPr>
            <w:rStyle w:val="Hyperlink"/>
          </w:rPr>
          <w:t xml:space="preserve">16</w:t>
        </w:r>
      </w:hyperlink>
      <w:r>
        <w:t xml:space="preserve">), клиенты ЮKassa держат сервис на доступности.</w:t>
      </w:r>
    </w:p>
    <w:p>
      <w:pPr>
        <w:pStyle w:val="Heading2"/>
      </w:pPr>
      <w:r>
        <w:t xml:space="preserve">Список источников</w:t>
      </w:r>
    </w:p>
    <w:p>
      <w:pPr/>
      <w:r>
        <w:t xml:space="preserve">Все страницы открывались 21.09.2026; номера совпадают с ссылками в тексте.</w:t>
      </w:r>
    </w:p>
    <w:p>
      <w:pPr>
        <w:pStyle w:val="ListParagraph"/>
        <w:numPr>
          <w:ilvl w:val="0"/>
          <w:numId w:val="4"/>
        </w:numPr>
      </w:pPr>
      <w:hyperlink r:id="rId6" w:history="1">
        <w:r>
          <w:rPr>
            <w:rStyle w:val="Hyperlink"/>
          </w:rPr>
          <w:t xml:space="preserve">Smart Ranking: «Российский fintech-сектор вырос на 15% за 2025 год»</w:t>
        </w:r>
      </w:hyperlink>
    </w:p>
    <w:p>
      <w:pPr>
        <w:pStyle w:val="ListParagraph"/>
        <w:numPr>
          <w:ilvl w:val="0"/>
          <w:numId w:val="4"/>
        </w:numPr>
      </w:pPr>
      <w:hyperlink r:id="rId7" w:history="1">
        <w:r>
          <w:rPr>
            <w:rStyle w:val="Hyperlink"/>
          </w:rPr>
          <w:t xml:space="preserve">ЮMoney: лидер финтеха по выручке за I полугодие 2025</w:t>
        </w:r>
      </w:hyperlink>
    </w:p>
    <w:p>
      <w:pPr>
        <w:pStyle w:val="ListParagraph"/>
        <w:numPr>
          <w:ilvl w:val="0"/>
          <w:numId w:val="4"/>
        </w:numPr>
      </w:pPr>
      <w:hyperlink r:id="rId12" w:history="1">
        <w:r>
          <w:rPr>
            <w:rStyle w:val="Hyperlink"/>
          </w:rPr>
          <w:t xml:space="preserve">ЮMoney: лидер финтеха по выручке за I квартал 2025</w:t>
        </w:r>
      </w:hyperlink>
    </w:p>
    <w:p>
      <w:pPr>
        <w:pStyle w:val="ListParagraph"/>
        <w:numPr>
          <w:ilvl w:val="0"/>
          <w:numId w:val="4"/>
        </w:numPr>
      </w:pPr>
      <w:hyperlink r:id="rId13" w:history="1">
        <w:r>
          <w:rPr>
            <w:rStyle w:val="Hyperlink"/>
          </w:rPr>
          <w:t xml:space="preserve">Коммерсантъ: темпы роста российского финтеха в I полугодии 2026</w:t>
        </w:r>
      </w:hyperlink>
    </w:p>
    <w:p>
      <w:pPr>
        <w:pStyle w:val="ListParagraph"/>
        <w:numPr>
          <w:ilvl w:val="0"/>
          <w:numId w:val="4"/>
        </w:numPr>
      </w:pPr>
      <w:hyperlink r:id="rId20" w:history="1">
        <w:r>
          <w:rPr>
            <w:rStyle w:val="Hyperlink"/>
          </w:rPr>
          <w:t xml:space="preserve">ЮMoney: новости 2026</w:t>
        </w:r>
      </w:hyperlink>
    </w:p>
    <w:p>
      <w:pPr>
        <w:pStyle w:val="ListParagraph"/>
        <w:numPr>
          <w:ilvl w:val="0"/>
          <w:numId w:val="4"/>
        </w:numPr>
      </w:pPr>
      <w:hyperlink r:id="rId10" w:history="1">
        <w:r>
          <w:rPr>
            <w:rStyle w:val="Hyperlink"/>
          </w:rPr>
          <w:t xml:space="preserve">Интерфакс: ЮMoney, РСБУ за 2023 год</w:t>
        </w:r>
      </w:hyperlink>
    </w:p>
    <w:p>
      <w:pPr>
        <w:pStyle w:val="ListParagraph"/>
        <w:numPr>
          <w:ilvl w:val="0"/>
          <w:numId w:val="4"/>
        </w:numPr>
      </w:pPr>
      <w:hyperlink r:id="rId9" w:history="1">
        <w:r>
          <w:rPr>
            <w:rStyle w:val="Hyperlink"/>
          </w:rPr>
          <w:t xml:space="preserve">Интерфакс: ЮMoney, РСБУ за I полугодие 2024</w:t>
        </w:r>
      </w:hyperlink>
    </w:p>
    <w:p>
      <w:pPr>
        <w:pStyle w:val="ListParagraph"/>
        <w:numPr>
          <w:ilvl w:val="0"/>
          <w:numId w:val="4"/>
        </w:numPr>
      </w:pPr>
      <w:hyperlink r:id="rId11" w:history="1">
        <w:r>
          <w:rPr>
            <w:rStyle w:val="Hyperlink"/>
          </w:rPr>
          <w:t xml:space="preserve">ProFinansy (по Интерфаксу): ЮMoney, РСБУ за 2022 год</w:t>
        </w:r>
      </w:hyperlink>
    </w:p>
    <w:p>
      <w:pPr>
        <w:pStyle w:val="ListParagraph"/>
        <w:numPr>
          <w:ilvl w:val="0"/>
          <w:numId w:val="4"/>
        </w:numPr>
      </w:pPr>
      <w:hyperlink r:id="rId3" w:history="1">
        <w:r>
          <w:rPr>
            <w:rStyle w:val="Hyperlink"/>
          </w:rPr>
          <w:t xml:space="preserve">Банк России: справка об ООО НКО «ЮМани»</w:t>
        </w:r>
      </w:hyperlink>
    </w:p>
    <w:p>
      <w:pPr>
        <w:pStyle w:val="ListParagraph"/>
        <w:numPr>
          <w:ilvl w:val="0"/>
          <w:numId w:val="4"/>
        </w:numPr>
      </w:pPr>
      <w:hyperlink r:id="rId4" w:history="1">
        <w:r>
          <w:rPr>
            <w:rStyle w:val="Hyperlink"/>
          </w:rPr>
          <w:t xml:space="preserve">РБК: Сбербанк стал единственным владельцем «Яндекс.Денег» (2020)</w:t>
        </w:r>
      </w:hyperlink>
    </w:p>
    <w:p>
      <w:pPr>
        <w:pStyle w:val="ListParagraph"/>
        <w:numPr>
          <w:ilvl w:val="0"/>
          <w:numId w:val="4"/>
        </w:numPr>
      </w:pPr>
      <w:hyperlink r:id="rId5" w:history="1">
        <w:r>
          <w:rPr>
            <w:rStyle w:val="Hyperlink"/>
          </w:rPr>
          <w:t xml:space="preserve">ЮMoney: страница о компании</w:t>
        </w:r>
      </w:hyperlink>
    </w:p>
    <w:p>
      <w:pPr>
        <w:pStyle w:val="ListParagraph"/>
        <w:numPr>
          <w:ilvl w:val="0"/>
          <w:numId w:val="4"/>
        </w:numPr>
      </w:pPr>
      <w:hyperlink r:id="rId17" w:history="1">
        <w:r>
          <w:rPr>
            <w:rStyle w:val="Hyperlink"/>
          </w:rPr>
          <w:t xml:space="preserve">Хабр: «Who are «Ю»», ЮMoney о себе (2023)</w:t>
        </w:r>
      </w:hyperlink>
    </w:p>
    <w:p>
      <w:pPr>
        <w:pStyle w:val="ListParagraph"/>
        <w:numPr>
          <w:ilvl w:val="0"/>
          <w:numId w:val="4"/>
        </w:numPr>
      </w:pPr>
      <w:hyperlink r:id="rId19" w:history="1">
        <w:r>
          <w:rPr>
            <w:rStyle w:val="Hyperlink"/>
          </w:rPr>
          <w:t xml:space="preserve">Хабр: профиль компании ЮMoney</w:t>
        </w:r>
      </w:hyperlink>
    </w:p>
    <w:p>
      <w:pPr>
        <w:pStyle w:val="ListParagraph"/>
        <w:numPr>
          <w:ilvl w:val="0"/>
          <w:numId w:val="4"/>
        </w:numPr>
      </w:pPr>
      <w:hyperlink r:id="rId16" w:history="1">
        <w:r>
          <w:rPr>
            <w:rStyle w:val="Hyperlink"/>
          </w:rPr>
          <w:t xml:space="preserve">hh.ru: ЮMoney — работодатель и вакансии</w:t>
        </w:r>
      </w:hyperlink>
    </w:p>
    <w:p>
      <w:pPr>
        <w:pStyle w:val="ListParagraph"/>
        <w:numPr>
          <w:ilvl w:val="0"/>
          <w:numId w:val="4"/>
        </w:numPr>
      </w:pPr>
      <w:hyperlink r:id="rId31" w:history="1">
        <w:r>
          <w:rPr>
            <w:rStyle w:val="Hyperlink"/>
          </w:rPr>
          <w:t xml:space="preserve">Хабр Карьера: компания ЮMoney</w:t>
        </w:r>
      </w:hyperlink>
    </w:p>
    <w:p>
      <w:pPr>
        <w:pStyle w:val="ListParagraph"/>
        <w:numPr>
          <w:ilvl w:val="0"/>
          <w:numId w:val="4"/>
        </w:numPr>
      </w:pPr>
      <w:hyperlink r:id="rId26" w:history="1">
        <w:r>
          <w:rPr>
            <w:rStyle w:val="Hyperlink"/>
          </w:rPr>
          <w:t xml:space="preserve">CNews: X-Com поставила Dr.Web для защиты рабочих мест в «ЮMoney» (02.09.2026)</w:t>
        </w:r>
      </w:hyperlink>
    </w:p>
    <w:p>
      <w:pPr>
        <w:pStyle w:val="ListParagraph"/>
        <w:numPr>
          <w:ilvl w:val="0"/>
          <w:numId w:val="4"/>
        </w:numPr>
      </w:pPr>
      <w:hyperlink r:id="rId27" w:history="1">
        <w:r>
          <w:rPr>
            <w:rStyle w:val="Hyperlink"/>
          </w:rPr>
          <w:t xml:space="preserve">CISOCLUB: ЮMoney защитила более 1000 рабочих мест с Dr.Web</w:t>
        </w:r>
      </w:hyperlink>
    </w:p>
    <w:p>
      <w:pPr>
        <w:pStyle w:val="ListParagraph"/>
        <w:numPr>
          <w:ilvl w:val="0"/>
          <w:numId w:val="4"/>
        </w:numPr>
      </w:pPr>
      <w:hyperlink r:id="rId28" w:history="1">
        <w:r>
          <w:rPr>
            <w:rStyle w:val="Hyperlink"/>
          </w:rPr>
          <w:t xml:space="preserve">Хабр: «Как я обнаружил проблемы у ЮМани с безопасностью» (2024)</w:t>
        </w:r>
      </w:hyperlink>
    </w:p>
    <w:p>
      <w:pPr>
        <w:pStyle w:val="ListParagraph"/>
        <w:numPr>
          <w:ilvl w:val="0"/>
          <w:numId w:val="4"/>
        </w:numPr>
      </w:pPr>
      <w:hyperlink r:id="rId25" w:history="1">
        <w:r>
          <w:rPr>
            <w:rStyle w:val="Hyperlink"/>
          </w:rPr>
          <w:t xml:space="preserve">Хабр: сбой «ЮMoney» и «ЮКасса» 17.02.2023</w:t>
        </w:r>
      </w:hyperlink>
    </w:p>
    <w:p>
      <w:pPr>
        <w:pStyle w:val="ListParagraph"/>
        <w:numPr>
          <w:ilvl w:val="0"/>
          <w:numId w:val="4"/>
        </w:numPr>
      </w:pPr>
      <w:hyperlink r:id="rId29" w:history="1">
        <w:r>
          <w:rPr>
            <w:rStyle w:val="Hyperlink"/>
          </w:rPr>
          <w:t xml:space="preserve">Хабр: ЦБ ограничил работу ЮMoney (2021)</w:t>
        </w:r>
      </w:hyperlink>
    </w:p>
    <w:p>
      <w:pPr>
        <w:pStyle w:val="ListParagraph"/>
        <w:numPr>
          <w:ilvl w:val="0"/>
          <w:numId w:val="4"/>
        </w:numPr>
      </w:pPr>
      <w:hyperlink r:id="rId18" w:history="1">
        <w:r>
          <w:rPr>
            <w:rStyle w:val="Hyperlink"/>
          </w:rPr>
          <w:t xml:space="preserve">CNews: справка «Сбер — ЮMoney»</w:t>
        </w:r>
      </w:hyperlink>
    </w:p>
    <w:p>
      <w:pPr>
        <w:pStyle w:val="ListParagraph"/>
        <w:numPr>
          <w:ilvl w:val="0"/>
          <w:numId w:val="4"/>
        </w:numPr>
      </w:pPr>
      <w:hyperlink r:id="rId8" w:history="1">
        <w:r>
          <w:rPr>
            <w:rStyle w:val="Hyperlink"/>
          </w:rPr>
          <w:t xml:space="preserve">Ведомости: Иван Глазачев, генеральный директор ЮMoney</w:t>
        </w:r>
      </w:hyperlink>
    </w:p>
    <w:p>
      <w:pPr>
        <w:pStyle w:val="ListParagraph"/>
        <w:numPr>
          <w:ilvl w:val="0"/>
          <w:numId w:val="4"/>
        </w:numPr>
      </w:pPr>
      <w:hyperlink r:id="rId15" w:history="1">
        <w:r>
          <w:rPr>
            <w:rStyle w:val="Hyperlink"/>
          </w:rPr>
          <w:t xml:space="preserve">CNews: «ЮMoney» запустила BaaS-платформу «ЮSoft» (25.09.2025)</w:t>
        </w:r>
      </w:hyperlink>
    </w:p>
    <w:p>
      <w:pPr>
        <w:pStyle w:val="ListParagraph"/>
        <w:numPr>
          <w:ilvl w:val="0"/>
          <w:numId w:val="4"/>
        </w:numPr>
      </w:pPr>
      <w:hyperlink r:id="rId21" w:history="1">
        <w:r>
          <w:rPr>
            <w:rStyle w:val="Hyperlink"/>
          </w:rPr>
          <w:t xml:space="preserve">Хабр: Banking-as-a-Service на практике (ЮMoney)</w:t>
        </w:r>
      </w:hyperlink>
    </w:p>
    <w:p>
      <w:pPr>
        <w:pStyle w:val="ListParagraph"/>
        <w:numPr>
          <w:ilvl w:val="0"/>
          <w:numId w:val="4"/>
        </w:numPr>
      </w:pPr>
      <w:hyperlink r:id="rId14" w:history="1">
        <w:r>
          <w:rPr>
            <w:rStyle w:val="Hyperlink"/>
          </w:rPr>
          <w:t xml:space="preserve">ЮKassa: о компании</w:t>
        </w:r>
      </w:hyperlink>
    </w:p>
    <w:p>
      <w:pPr>
        <w:pStyle w:val="ListParagraph"/>
        <w:numPr>
          <w:ilvl w:val="0"/>
          <w:numId w:val="4"/>
        </w:numPr>
      </w:pPr>
      <w:hyperlink r:id="rId22" w:history="1">
        <w:r>
          <w:rPr>
            <w:rStyle w:val="Hyperlink"/>
          </w:rPr>
          <w:t xml:space="preserve">НСПК: НКО ЮМани — участник СБП</w:t>
        </w:r>
      </w:hyperlink>
    </w:p>
    <w:p>
      <w:pPr>
        <w:pStyle w:val="ListParagraph"/>
        <w:numPr>
          <w:ilvl w:val="0"/>
          <w:numId w:val="4"/>
        </w:numPr>
      </w:pPr>
      <w:hyperlink r:id="rId23" w:history="1">
        <w:r>
          <w:rPr>
            <w:rStyle w:val="Hyperlink"/>
          </w:rPr>
          <w:t xml:space="preserve">Хабр: банки маркетплейсов захватили 40% рынка электронных денег (2024)</w:t>
        </w:r>
      </w:hyperlink>
    </w:p>
    <w:p>
      <w:pPr>
        <w:pStyle w:val="ListParagraph"/>
        <w:numPr>
          <w:ilvl w:val="0"/>
          <w:numId w:val="4"/>
        </w:numPr>
      </w:pPr>
      <w:hyperlink r:id="rId32" w:history="1">
        <w:r>
          <w:rPr>
            <w:rStyle w:val="Hyperlink"/>
          </w:rPr>
          <w:t xml:space="preserve">КонсультантПлюс: персональные данные, новые штрафы с 30.05.2025</w:t>
        </w:r>
      </w:hyperlink>
    </w:p>
    <w:p>
      <w:pPr>
        <w:pStyle w:val="ListParagraph"/>
        <w:numPr>
          <w:ilvl w:val="0"/>
          <w:numId w:val="4"/>
        </w:numPr>
      </w:pPr>
      <w:hyperlink r:id="rId33" w:history="1">
        <w:r>
          <w:rPr>
            <w:rStyle w:val="Hyperlink"/>
          </w:rPr>
          <w:t xml:space="preserve">ITGlobal: Указ Президента №250, на кого распространяется</w:t>
        </w:r>
      </w:hyperlink>
    </w:p>
    <w:p>
      <w:pPr>
        <w:pStyle w:val="ListParagraph"/>
        <w:numPr>
          <w:ilvl w:val="0"/>
          <w:numId w:val="4"/>
        </w:numPr>
      </w:pPr>
      <w:hyperlink r:id="rId30" w:history="1">
        <w:r>
          <w:rPr>
            <w:rStyle w:val="Hyperlink"/>
          </w:rPr>
          <w:t xml:space="preserve">Гарант: Положение Банка России №821-П</w:t>
        </w:r>
      </w:hyperlink>
    </w:p>
    <w:p>
      <w:pPr>
        <w:pStyle w:val="ListParagraph"/>
        <w:numPr>
          <w:ilvl w:val="0"/>
          <w:numId w:val="4"/>
        </w:numPr>
      </w:pPr>
      <w:hyperlink r:id="rId24" w:history="1">
        <w:r>
          <w:rPr>
            <w:rStyle w:val="Hyperlink"/>
          </w:rPr>
          <w:t xml:space="preserve">ЮKassa: защита платежей</w:t>
        </w:r>
      </w:hyperlink>
    </w:p>
    <w:p>
      <w:pPr/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1"/>
    <w:lvlOverride w:ilvl="0">
      <w:startOverride w:val="1"/>
    </w:lvlOverride>
  </w:num>
  <w:num w:numId="4">
    <w:abstractNumId w:val="1"/>
    <w:lvlOverride w:ilvl="0">
      <w:startOverride w:val="1"/>
    </w:lvlOverride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hyperlink" Target="https://cbr.ru/finorg/foinfo/?ogrn=1127711000031" TargetMode="External"/><Relationship Id="rId4" Type="http://schemas.openxmlformats.org/officeDocument/2006/relationships/hyperlink" Target="https://www.rbc.ru/technology_and_media/22/07/2020/5f17b21b9a794799cc40de63" TargetMode="External"/><Relationship Id="rId5" Type="http://schemas.openxmlformats.org/officeDocument/2006/relationships/hyperlink" Target="https://yoomoney.ru/page?id=524407" TargetMode="External"/><Relationship Id="rId6" Type="http://schemas.openxmlformats.org/officeDocument/2006/relationships/hyperlink" Target="https://smartranking.ru/ru/analytics/fintech/rossijskij-fintech-sektor-vyros-na-15-za-2025-god/" TargetMode="External"/><Relationship Id="rId7" Type="http://schemas.openxmlformats.org/officeDocument/2006/relationships/hyperlink" Target="https://yoomoney.ru/document/yoomoney-lider-rusfintecha-2025" TargetMode="External"/><Relationship Id="rId8" Type="http://schemas.openxmlformats.org/officeDocument/2006/relationships/hyperlink" Target="https://events.vedomosti.ru/speakers/glazachev-ivan-10724" TargetMode="External"/><Relationship Id="rId9" Type="http://schemas.openxmlformats.org/officeDocument/2006/relationships/hyperlink" Target="https://www.interfax.ru/business/974807" TargetMode="External"/><Relationship Id="rId10" Type="http://schemas.openxmlformats.org/officeDocument/2006/relationships/hyperlink" Target="https://www.interfax.ru/business/953428" TargetMode="External"/><Relationship Id="rId11" Type="http://schemas.openxmlformats.org/officeDocument/2006/relationships/hyperlink" Target="https://lenta.profinansy.ru/news/1759222" TargetMode="External"/><Relationship Id="rId12" Type="http://schemas.openxmlformats.org/officeDocument/2006/relationships/hyperlink" Target="https://yoomoney.ru/document/yoomoney-lider-rossiieskogo-fintexa-po-viruchke-za-perviie-kvartal-2025-goda" TargetMode="External"/><Relationship Id="rId13" Type="http://schemas.openxmlformats.org/officeDocument/2006/relationships/hyperlink" Target="https://www.kommersant.ru/doc/8921055" TargetMode="External"/><Relationship Id="rId14" Type="http://schemas.openxmlformats.org/officeDocument/2006/relationships/hyperlink" Target="https://yookassa.ru/about/" TargetMode="External"/><Relationship Id="rId15" Type="http://schemas.openxmlformats.org/officeDocument/2006/relationships/hyperlink" Target="https://www.cnews.ru/news/line/2025-09-25_yumoney_zapustila_baas-platformu" TargetMode="External"/><Relationship Id="rId16" Type="http://schemas.openxmlformats.org/officeDocument/2006/relationships/hyperlink" Target="https://hh.ru/employer/655542" TargetMode="External"/><Relationship Id="rId17" Type="http://schemas.openxmlformats.org/officeDocument/2006/relationships/hyperlink" Target="https://habr.com/ru/companies/yoomoney/articles/717462/" TargetMode="External"/><Relationship Id="rId18" Type="http://schemas.openxmlformats.org/officeDocument/2006/relationships/hyperlink" Target="https://www.cnews.ru/book/%D0%A1%D0%B1%D0%B5%D1%80_-_%D0%AEMoney_-_%D0%AE%D0%9C%D0%B0%D0%BD%D0%B8_%D0%9D%D0%9A%D0%9E_-_%D1%80%D0%B0%D0%BD%D0%B5%D0%B5_%D0%AF%D0%BD%D0%B4%D0%B5%D0%BA%D1%81_%D0%94%D0%B5%D0%BD%D1%8C%D0%B3%D0%B8_-_Yandex_Money" TargetMode="External"/><Relationship Id="rId19" Type="http://schemas.openxmlformats.org/officeDocument/2006/relationships/hyperlink" Target="https://habr.com/en/companies/yoomoney/profile/" TargetMode="External"/><Relationship Id="rId20" Type="http://schemas.openxmlformats.org/officeDocument/2006/relationships/hyperlink" Target="https://yoomoney.ru/document/news" TargetMode="External"/><Relationship Id="rId21" Type="http://schemas.openxmlformats.org/officeDocument/2006/relationships/hyperlink" Target="https://habr.com/ru/companies/yoomoney/articles/950470/" TargetMode="External"/><Relationship Id="rId22" Type="http://schemas.openxmlformats.org/officeDocument/2006/relationships/hyperlink" Target="https://sbp.nspk.ru/participants/11475f7a-5d4f-4f9b-984f-c16d1b019c2f" TargetMode="External"/><Relationship Id="rId23" Type="http://schemas.openxmlformats.org/officeDocument/2006/relationships/hyperlink" Target="https://habr.com/ru/news/851328" TargetMode="External"/><Relationship Id="rId24" Type="http://schemas.openxmlformats.org/officeDocument/2006/relationships/hyperlink" Target="https://yookassa.ru/protection/" TargetMode="External"/><Relationship Id="rId25" Type="http://schemas.openxmlformats.org/officeDocument/2006/relationships/hyperlink" Target="https://habr.com/ru/news/717604/" TargetMode="External"/><Relationship Id="rId26" Type="http://schemas.openxmlformats.org/officeDocument/2006/relationships/hyperlink" Target="https://www.cnews.ru/news/line/2026-09-02_x-com_postavila_drweb_dlya_zashchity" TargetMode="External"/><Relationship Id="rId27" Type="http://schemas.openxmlformats.org/officeDocument/2006/relationships/hyperlink" Target="https://cisoclub.ru/x-com-postavila-dr-web-dlja-zashhity-rabochih-mest-v-jumoney" TargetMode="External"/><Relationship Id="rId28" Type="http://schemas.openxmlformats.org/officeDocument/2006/relationships/hyperlink" Target="https://habr.com/ru/articles/844224/" TargetMode="External"/><Relationship Id="rId29" Type="http://schemas.openxmlformats.org/officeDocument/2006/relationships/hyperlink" Target="https://habr.com/ru/amp/publications/537236" TargetMode="External"/><Relationship Id="rId30" Type="http://schemas.openxmlformats.org/officeDocument/2006/relationships/hyperlink" Target="https://base.garant.ru/408182189/" TargetMode="External"/><Relationship Id="rId31" Type="http://schemas.openxmlformats.org/officeDocument/2006/relationships/hyperlink" Target="https://career.habr.com/companies/yoomoneyru" TargetMode="External"/><Relationship Id="rId32" Type="http://schemas.openxmlformats.org/officeDocument/2006/relationships/hyperlink" Target="https://www.consultant.ru/legalnews/28492/" TargetMode="External"/><Relationship Id="rId33" Type="http://schemas.openxmlformats.org/officeDocument/2006/relationships/hyperlink" Target="https://itglobal.com/ru-ru/company/blog/ukaz-prezidenta-%E2%84%96-250-na-kogo-rasprostranyayutsya-trebovaniya-i-kak-ih-vypolnit/" TargetMode="External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ПР1 — Бизнес и его ИТ ЮMoney</dc:title>
  <dc:description>Claude Docs node/fb763f83-39b1@275 docx-w6</dc:description>
  <cp:revision>275</cp:revision>
</cp:coreProperties>
</file>