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ПР2 — Гипотезы роста выручки: ЮMoney</w:t>
      </w:r>
    </w:p>
    <w:p>
      <w:pPr/>
      <w:r>
        <w:t xml:space="preserve">Oct 7, 2026</w:t>
      </w:r>
      <w:r>
        <w:t xml:space="preserve"> · </w:t>
      </w:r>
      <w:r>
        <w:t xml:space="preserve">@Raf</w:t>
      </w:r>
    </w:p>
    <w:p>
      <w:pPr/>
      <w:r>
        <w:t xml:space="preserve">Пять проверяемых гипотез о выручке ЮMoney после лебедей 48 и 67 вместе дают 2,1–5,9% выручки против ориентира рынка +9%. Главная — удержать топ-30 магазинов ЮKassa; гипотеза про ИИ-инструменты в разработке приближает запуск новых продуктов на 1–2 месяца.</w:t>
      </w:r>
    </w:p>
    <w:p>
      <w:pPr>
        <w:pStyle w:val="Heading2"/>
      </w:pPr>
      <w:r>
        <w:t xml:space="preserve">Паспорт проекта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Параметр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Значение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Бизнес</w:t>
            </w:r>
          </w:p>
        </w:tc>
        <w:tc>
          <w:tcPr>
            <w:tcW w:w="4680" w:type="dxa"/>
          </w:tcPr>
          <w:p>
            <w:pPr/>
            <w:r>
              <w:t xml:space="preserve">ЮMoney (ООО НКО «ЮМани»): приём платежей ЮKassa, кошелёк и карты, BaaS-платформа ЮSoft; 100% у Сбера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Выручка</w:t>
            </w:r>
          </w:p>
        </w:tc>
        <w:tc>
          <w:tcPr>
            <w:tcW w:w="4680" w:type="dxa"/>
          </w:tcPr>
          <w:p>
            <w:pPr/>
            <w:r>
              <w:t xml:space="preserve">27,55 млрд ₽ за 2025 год; после лебедя 67 ≈ 18,4 млрд ₽ в годовом выражении (А14)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Состояние ИТ</w:t>
            </w:r>
          </w:p>
        </w:tc>
        <w:tc>
          <w:tcPr>
            <w:tcW w:w="4680" w:type="dxa"/>
          </w:tcPr>
          <w:p>
            <w:pPr/>
            <w:r>
              <w:t xml:space="preserve">Поставщик услуг; ИТ-функция в красной зоне: 456 из 1124 сотрудников под сокращением опекса на 25%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Главное слабое место</w:t>
            </w:r>
          </w:p>
        </w:tc>
        <w:tc>
          <w:tcPr>
            <w:tcW w:w="4680" w:type="dxa"/>
          </w:tcPr>
          <w:p>
            <w:pPr/>
            <w:r>
              <w:t xml:space="preserve">≈ 89% комиссии из одного направления (интернет-магазины); интерфейс по лебедю 48 не запущен в срок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Что учитывает ПР2</w:t>
            </w:r>
          </w:p>
        </w:tc>
        <w:tc>
          <w:tcPr>
            <w:tcW w:w="4680" w:type="dxa"/>
          </w:tcPr>
          <w:p>
            <w:pPr/>
            <w:r>
              <w:t xml:space="preserve">Эффект «Шрам» по обоим лебедям: предписание ЦБ и штраф, вопрос собственников о продуктах, требования кредиторов</w:t>
            </w:r>
          </w:p>
        </w:tc>
      </w:tr>
    </w:tbl>
    <w:p>
      <w:pPr>
        <w:pStyle w:val="Heading2"/>
      </w:pPr>
      <w:r>
        <w:t xml:space="preserve">Что изменилось после ПР1</w:t>
      </w:r>
    </w:p>
    <w:p>
      <w:pPr/>
      <w:r>
        <w:t xml:space="preserve">После ПР1 оба сценария прошли дальше «уже случилось» и оставили шесть долгов: два к ПР2 и четыре к следующим работам. Долги к ПР2 дают обязательный проект и очерёдность гипотез, а долги к следующим лебедям ставят ограничения, которых нельзя нарушить. Эффект «Шрам» означает, что последствия не исчезают после устранения причины и переходят в план.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Долг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Из какого лебедя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Что это делает с ПР2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Где учтено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ЦБ выдал предписание запустить интерфейс в новый срок, штраф наложен</w:t>
            </w:r>
          </w:p>
        </w:tc>
        <w:tc>
          <w:tcPr>
            <w:tcW w:w="2340" w:type="dxa"/>
          </w:tcPr>
          <w:p>
            <w:pPr/>
            <w:r>
              <w:t xml:space="preserve">48, долг к ПР2</w:t>
            </w:r>
          </w:p>
        </w:tc>
        <w:tc>
          <w:tcPr>
            <w:tcW w:w="2340" w:type="dxa"/>
          </w:tcPr>
          <w:p>
            <w:pPr/>
            <w:r>
              <w:t xml:space="preserve">Интерфейс — обязательный проект по предписанию, а не гипотеза: в рейтинге не участвует, но задаёт даты для Г3</w:t>
            </w:r>
          </w:p>
        </w:tc>
        <w:tc>
          <w:tcPr>
            <w:tcW w:w="2340" w:type="dxa"/>
          </w:tcPr>
          <w:p>
            <w:pPr/>
            <w:r>
              <w:t xml:space="preserve">Раздел «Приоритизация», ограничение по людям; гипотеза Г3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Собственники требуют ответа: какие продукты плана восстановления компания выпустит оставшейся командой и когда</w:t>
            </w:r>
          </w:p>
        </w:tc>
        <w:tc>
          <w:tcPr>
            <w:tcW w:w="2340" w:type="dxa"/>
          </w:tcPr>
          <w:p>
            <w:pPr/>
            <w:r>
              <w:t xml:space="preserve">67, долг к ПР2</w:t>
            </w:r>
          </w:p>
        </w:tc>
        <w:tc>
          <w:tcPr>
            <w:tcW w:w="2340" w:type="dxa"/>
          </w:tcPr>
          <w:p>
            <w:pPr/>
            <w:r>
              <w:t xml:space="preserve">Нужны ёмкость команды и очерёдность выпуска</w:t>
            </w:r>
          </w:p>
        </w:tc>
        <w:tc>
          <w:tcPr>
            <w:tcW w:w="2340" w:type="dxa"/>
          </w:tcPr>
          <w:p>
            <w:pPr/>
            <w:r>
              <w:t xml:space="preserve">Гипотезы Г2–Г5, раздел «В работу и в резерв»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Кредиторы требуют объяснить, почему обязательный проект не попал в план, и пересматривают условия</w:t>
            </w:r>
          </w:p>
        </w:tc>
        <w:tc>
          <w:tcPr>
            <w:tcW w:w="2340" w:type="dxa"/>
          </w:tcPr>
          <w:p>
            <w:pPr/>
            <w:r>
              <w:t xml:space="preserve">48, долг к следующим</w:t>
            </w:r>
          </w:p>
        </w:tc>
        <w:tc>
          <w:tcPr>
            <w:tcW w:w="2340" w:type="dxa"/>
          </w:tcPr>
          <w:p>
            <w:pPr/>
            <w:r>
              <w:t xml:space="preserve">Каждая гипотеза несёт эффект в рублях и опровергающее наблюдение, чтобы проходить согласование кредиторов</w:t>
            </w:r>
          </w:p>
        </w:tc>
        <w:tc>
          <w:tcPr>
            <w:tcW w:w="2340" w:type="dxa"/>
          </w:tcPr>
          <w:p>
            <w:pPr/>
            <w:r>
              <w:t xml:space="preserve">Все карточки, привязка к P&amp;L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Крупные магазины без данных требуют выдачи и переходят к банкам маркетплейсов</w:t>
            </w:r>
          </w:p>
        </w:tc>
        <w:tc>
          <w:tcPr>
            <w:tcW w:w="2340" w:type="dxa"/>
          </w:tcPr>
          <w:p>
            <w:pPr/>
            <w:r>
              <w:t xml:space="preserve">48, долг к следующим</w:t>
            </w:r>
          </w:p>
        </w:tc>
        <w:tc>
          <w:tcPr>
            <w:tcW w:w="2340" w:type="dxa"/>
          </w:tcPr>
          <w:p>
            <w:pPr/>
            <w:r>
              <w:t xml:space="preserve">Угроза самой крупной статье выручки (≈ 89% комиссии — ЮKassa)</w:t>
            </w:r>
          </w:p>
        </w:tc>
        <w:tc>
          <w:tcPr>
            <w:tcW w:w="2340" w:type="dxa"/>
          </w:tcPr>
          <w:p>
            <w:pPr/>
            <w:r>
              <w:t xml:space="preserve">Гипотеза Г1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ЦБ запрашивает оценку операционной надёжности после ухода ключевых специалистов</w:t>
            </w:r>
          </w:p>
        </w:tc>
        <w:tc>
          <w:tcPr>
            <w:tcW w:w="2340" w:type="dxa"/>
          </w:tcPr>
          <w:p>
            <w:pPr/>
            <w:r>
              <w:t xml:space="preserve">67, долг к следующим</w:t>
            </w:r>
          </w:p>
        </w:tc>
        <w:tc>
          <w:tcPr>
            <w:tcW w:w="2340" w:type="dxa"/>
          </w:tcPr>
          <w:p>
            <w:pPr/>
            <w:r>
              <w:t xml:space="preserve">Люди платёжного ядра не входят в ёмкость гипотез, иначе ответ ЦБ станет хуже</w:t>
            </w:r>
          </w:p>
        </w:tc>
        <w:tc>
          <w:tcPr>
            <w:tcW w:w="2340" w:type="dxa"/>
          </w:tcPr>
          <w:p>
            <w:pPr/>
            <w:r>
              <w:t xml:space="preserve">Раздел «Приоритизация», ограничение ёмкости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Клиенты ЮSoft, встроившие сервисы ЮMoney, требуют сроков по замороженному развитию или готовят уход</w:t>
            </w:r>
          </w:p>
        </w:tc>
        <w:tc>
          <w:tcPr>
            <w:tcW w:w="2340" w:type="dxa"/>
          </w:tcPr>
          <w:p>
            <w:pPr/>
            <w:r>
              <w:t xml:space="preserve">67, долг к следующим</w:t>
            </w:r>
          </w:p>
        </w:tc>
        <w:tc>
          <w:tcPr>
            <w:tcW w:w="2340" w:type="dxa"/>
          </w:tcPr>
          <w:p>
            <w:pPr/>
            <w:r>
              <w:t xml:space="preserve">Нужны даты и деньги от партнёров заранее, иначе уходит повторяющаяся выручка</w:t>
            </w:r>
          </w:p>
        </w:tc>
        <w:tc>
          <w:tcPr>
            <w:tcW w:w="2340" w:type="dxa"/>
          </w:tcPr>
          <w:p>
            <w:pPr/>
            <w:r>
              <w:t xml:space="preserve">Гипотеза Г3</w:t>
            </w:r>
          </w:p>
        </w:tc>
      </w:tr>
    </w:tbl>
    <w:p>
      <w:pPr/>
      <w:r>
        <w:t xml:space="preserve">Уже принятые шаги из </w:t>
      </w:r>
      <w:r>
        <w:t xml:space="preserve">Антикризисный план ЮMoney: лебеди 48 и 67</w:t>
      </w:r>
      <w:r>
        <w:t xml:space="preserve"> — ручная выдача данных за 2 рабочих дня, интерфейс на базе ЮSoft в три этапа, Клуб ЮMoney, открытый порог закупок, команда восстановления из 5–7 человек, «топы» в дочерней компании — считаются действующими. Гипотезы ниже опираются на них и не требуют других ресурсов.</w:t>
      </w:r>
    </w:p>
    <w:p>
      <w:pPr>
        <w:pStyle w:val="Heading2"/>
      </w:pPr>
      <w:r>
        <w:t xml:space="preserve">Точки приложения</w:t>
      </w:r>
    </w:p>
    <w:p>
      <w:pPr/>
      <w:r>
        <w:t xml:space="preserve">Пять гипотез выросли из трёх источников ПР1: красной и жёлтой зоны, шагов пути от заказа до денег и разрыва с отраслевым ориентиром. Каждая строка ниже ссылается на конкретный пункт прошлой работы.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Точка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Из какого пункта ПР1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Что там видно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Гипотезы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Жёлтая зона: концентрация выручки</w:t>
            </w:r>
          </w:p>
        </w:tc>
        <w:tc>
          <w:tcPr>
            <w:tcW w:w="2340" w:type="dxa"/>
          </w:tcPr>
          <w:p>
            <w:pPr/>
            <w:r>
              <w:t xml:space="preserve">п. 2 и п. 8, допущение А1</w:t>
            </w:r>
          </w:p>
        </w:tc>
        <w:tc>
          <w:tcPr>
            <w:tcW w:w="2340" w:type="dxa"/>
          </w:tcPr>
          <w:p>
            <w:pPr/>
            <w:r>
              <w:t xml:space="preserve">≈ 89% комиссии — из интернет-эквайринга ЮKassa; при падении выручки на треть потеря крупных магазинов опаснее всего</w:t>
            </w:r>
          </w:p>
        </w:tc>
        <w:tc>
          <w:tcPr>
            <w:tcW w:w="2340" w:type="dxa"/>
          </w:tcPr>
          <w:p>
            <w:pPr/>
            <w:r>
              <w:t xml:space="preserve">Г1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Красная зона: ИТ-функция</w:t>
            </w:r>
          </w:p>
        </w:tc>
        <w:tc>
          <w:tcPr>
            <w:tcW w:w="2340" w:type="dxa"/>
          </w:tcPr>
          <w:p>
            <w:pPr/>
            <w:r>
              <w:t xml:space="preserve">п. 5 и п. 8</w:t>
            </w:r>
          </w:p>
        </w:tc>
        <w:tc>
          <w:tcPr>
            <w:tcW w:w="2340" w:type="dxa"/>
          </w:tcPr>
          <w:p>
            <w:pPr/>
            <w:r>
              <w:t xml:space="preserve">41% штата под сокращением, а обязательный интерфейс и рост зависят от тех же людей</w:t>
            </w:r>
          </w:p>
        </w:tc>
        <w:tc>
          <w:tcPr>
            <w:tcW w:w="2340" w:type="dxa"/>
          </w:tcPr>
          <w:p>
            <w:pPr/>
            <w:r>
              <w:t xml:space="preserve">Г2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Шаг 5 пути: «Рассчитаться с магазином»</w:t>
            </w:r>
          </w:p>
        </w:tc>
        <w:tc>
          <w:tcPr>
            <w:tcW w:w="2340" w:type="dxa"/>
          </w:tcPr>
          <w:p>
            <w:pPr/>
            <w:r>
              <w:t xml:space="preserve">п. 4, допущение А2</w:t>
            </w:r>
          </w:p>
        </w:tc>
        <w:tc>
          <w:tcPr>
            <w:tcW w:w="2340" w:type="dxa"/>
          </w:tcPr>
          <w:p>
            <w:pPr/>
            <w:r>
              <w:t xml:space="preserve">из комиссионных доходов остаётся только ≈ 29%; каждый потерянный магазин уходит вместе с этой маржой</w:t>
            </w:r>
          </w:p>
        </w:tc>
        <w:tc>
          <w:tcPr>
            <w:tcW w:w="2340" w:type="dxa"/>
          </w:tcPr>
          <w:p>
            <w:pPr/>
            <w:r>
              <w:t xml:space="preserve">Г1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Давление банков маркетплейсов на базу физлиц</w:t>
            </w:r>
          </w:p>
        </w:tc>
        <w:tc>
          <w:tcPr>
            <w:tcW w:w="2340" w:type="dxa"/>
          </w:tcPr>
          <w:p>
            <w:pPr/>
            <w:r>
              <w:t xml:space="preserve">п. 3</w:t>
            </w:r>
          </w:p>
        </w:tc>
        <w:tc>
          <w:tcPr>
            <w:tcW w:w="2340" w:type="dxa"/>
          </w:tcPr>
          <w:p>
            <w:pPr/>
            <w:r>
              <w:t xml:space="preserve">доля банков маркетплейсов на рынке электронных денег выросла с 2% до 40% за три года; рост замедлился с +16% до +12%</w:t>
            </w:r>
          </w:p>
        </w:tc>
        <w:tc>
          <w:tcPr>
            <w:tcW w:w="2340" w:type="dxa"/>
          </w:tcPr>
          <w:p>
            <w:pPr/>
            <w:r>
              <w:t xml:space="preserve">Г4, Г5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Новые каналы: ЮSoft, новые продукты</w:t>
            </w:r>
          </w:p>
        </w:tc>
        <w:tc>
          <w:tcPr>
            <w:tcW w:w="2340" w:type="dxa"/>
          </w:tcPr>
          <w:p>
            <w:pPr/>
            <w:r>
              <w:t xml:space="preserve">п. 3 и п. 8 (проекты «держать»)</w:t>
            </w:r>
          </w:p>
        </w:tc>
        <w:tc>
          <w:tcPr>
            <w:tcW w:w="2340" w:type="dxa"/>
          </w:tcPr>
          <w:p>
            <w:pPr/>
            <w:r>
              <w:t xml:space="preserve">ЮSoft запущена 25.09.2025, выручка не раскрыта; посчитанного эффекта новых продуктов нет</w:t>
            </w:r>
          </w:p>
        </w:tc>
        <w:tc>
          <w:tcPr>
            <w:tcW w:w="2340" w:type="dxa"/>
          </w:tcPr>
          <w:p>
            <w:pPr/>
            <w:r>
              <w:t xml:space="preserve">Г3, Г5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Разрыв с отраслевым ориентиром</w:t>
            </w:r>
          </w:p>
        </w:tc>
        <w:tc>
          <w:tcPr>
            <w:tcW w:w="2340" w:type="dxa"/>
          </w:tcPr>
          <w:p>
            <w:pPr/>
            <w:r>
              <w:t xml:space="preserve">п. 1 и п. 3</w:t>
            </w:r>
          </w:p>
        </w:tc>
        <w:tc>
          <w:tcPr>
            <w:tcW w:w="2340" w:type="dxa"/>
          </w:tcPr>
          <w:p>
            <w:pPr/>
            <w:r>
              <w:t xml:space="preserve">до лебедей ЮMoney росла на 12% против рынка +9%; после лебедя 67 — около − 33% против +9%</w:t>
            </w:r>
          </w:p>
        </w:tc>
        <w:tc>
          <w:tcPr>
            <w:tcW w:w="2340" w:type="dxa"/>
          </w:tcPr>
          <w:p>
            <w:pPr/>
            <w:r>
              <w:t xml:space="preserve">все, как шкала сравнения</w:t>
            </w:r>
          </w:p>
        </w:tc>
      </w:tr>
    </w:tbl>
    <w:p>
      <w:pPr/>
      <w:r>
        <w:t xml:space="preserve">Отраслевой коридор в материалах не выдан, поэтому ориентиром служит рост рынка +9% из ПР1 (допущение А23 — см. реестр ниже). Разрыв — около 42 п.п. (− 33% − 9%, расчёт); полностью его закрыть гипотезами нельзя, поэтому задача — не «догнать рынок», а остановить падение и дать первый прирост.</w:t>
      </w:r>
    </w:p>
    <w:p>
      <w:pPr>
        <w:pStyle w:val="Heading2"/>
      </w:pPr>
      <w:r>
        <w:t xml:space="preserve">Карточки гипотез</w:t>
      </w:r>
    </w:p>
    <w:p>
      <w:pPr/>
      <w:r>
        <w:t xml:space="preserve">Пять карточек по одной форме из девяти полей, и все пять двигают выручку. Обязательный интерфейс по предписанию ЦБ — не гипотеза, а проект-ограничение (≈ 10 чел.-мес. ёмкости), поэтому он в карточки не входит. Г2 — гипотеза про ИТизацию: внедряемые ИИ-инструменты. Размеры пилотов (30 магазинов, 2 × 20 000 клиентов, 50 000 предложений) мы выбираем сами, это не факты о компании; остальные числа — расчёт от данных ПР1 или допущения А15–А25 из реестра ниже.</w:t>
      </w:r>
    </w:p>
    <w:p>
      <w:pPr>
        <w:pStyle w:val="Heading3"/>
      </w:pPr>
      <w:r>
        <w:t xml:space="preserve">Г1. Топ-30 магазинов ЮKassa остаются, если выдать им данные за 2 рабочих дня и зафиксировать комиссию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Поле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Значение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Формулировка</w:t>
            </w:r>
          </w:p>
        </w:tc>
        <w:tc>
          <w:tcPr>
            <w:tcW w:w="4680" w:type="dxa"/>
          </w:tcPr>
          <w:p>
            <w:pPr/>
            <w:r>
              <w:t xml:space="preserve">Если 30 крупнейшим магазинам ЮKassa выдавать данные вручную за 2 рабочих дня (3 сотрудника и юрист) и письменно зафиксировать действующую комиссию на 12 месяцев, то оборот группы за 60 дней не упадёт больше чем на 5%, потому что магазины уходят к банкам маркетплейсов из-за невыданных данных и риска повышения комиссии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Строка P&amp;L</w:t>
            </w:r>
          </w:p>
        </w:tc>
        <w:tc>
          <w:tcPr>
            <w:tcW w:w="4680" w:type="dxa"/>
          </w:tcPr>
          <w:p>
            <w:pPr/>
            <w:r>
              <w:t xml:space="preserve">Выручка: комиссии ЮKassa (≈ 89% выручки)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Показатель и текущее значение</w:t>
            </w:r>
          </w:p>
        </w:tc>
        <w:tc>
          <w:tcPr>
            <w:tcW w:w="4680" w:type="dxa"/>
          </w:tcPr>
          <w:p>
            <w:pPr/>
            <w:r>
              <w:t xml:space="preserve">Оборот топ-30 за 60 дней после первого ответа к обороту за 60 дней до запроса, %; число ушедших (оборот упал на 50% и более). Сейчас не измеряется: месяц запросы оставались без ответа; без действий ожидаем потерю 1–3% комиссий ЮKassa (А22)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Порог</w:t>
            </w:r>
          </w:p>
        </w:tc>
        <w:tc>
          <w:tcPr>
            <w:tcW w:w="4680" w:type="dxa"/>
          </w:tcPr>
          <w:p>
            <w:pPr/>
            <w:r>
              <w:t xml:space="preserve">Оборот группы не ниже 95% от базы, ушло не более 2 магазинов из 30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Срок проверки</w:t>
            </w:r>
          </w:p>
        </w:tc>
        <w:tc>
          <w:tcPr>
            <w:tcW w:w="4680" w:type="dxa"/>
          </w:tcPr>
          <w:p>
            <w:pPr/>
            <w:r>
              <w:t xml:space="preserve">60 дней после первого ответа; ручная выдача стартует в первый месяц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Опровергающее наблюдение</w:t>
            </w:r>
          </w:p>
        </w:tc>
        <w:tc>
          <w:tcPr>
            <w:tcW w:w="4680" w:type="dxa"/>
          </w:tcPr>
          <w:p>
            <w:pPr/>
            <w:r>
              <w:t xml:space="preserve">Данные выданы в срок (в 90% запросов за 2 рабочих дня), но оборот группы ниже 95% или ушли 3 магазина и больше. Значит, причина не в данных, а в цене и условиях банков маркетплейсов; гипотезу снимаем и готовим ценовое предложение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Риск или неопределённость</w:t>
            </w:r>
          </w:p>
        </w:tc>
        <w:tc>
          <w:tcPr>
            <w:tcW w:w="4680" w:type="dxa"/>
          </w:tcPr>
          <w:p>
            <w:pPr/>
            <w:r>
              <w:t xml:space="preserve">Неопределённость: частота ухода магазинов после запроса данных неизвестна, поэтому нужен пилот на 30 магазинах, а не расчёт по статистике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Что нужно для проверки</w:t>
            </w:r>
          </w:p>
        </w:tc>
        <w:tc>
          <w:tcPr>
            <w:tcW w:w="4680" w:type="dxa"/>
          </w:tcPr>
          <w:p>
            <w:pPr/>
            <w:r>
              <w:t xml:space="preserve">Список топ-30 по обороту за 12 месяцев; журнал запросов и сроков ответа; 3 сотрудника и юрист; решение коммерческого блока о фиксации комиссии; письмо регулятору о временной ручной выдаче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Допущения</w:t>
            </w:r>
          </w:p>
        </w:tc>
        <w:tc>
          <w:tcPr>
            <w:tcW w:w="4680" w:type="dxa"/>
          </w:tcPr>
          <w:p>
            <w:pPr/>
            <w:r>
              <w:t xml:space="preserve">ЮKassa ≈ 89% выручки (А15); без вмешательства уходит 1–3% комиссий (А22); размер пилота — наш выбор (А25); ручная выдача допустима регулятору как временная мера (проверяет юрист)</w:t>
            </w:r>
          </w:p>
        </w:tc>
      </w:tr>
    </w:tbl>
    <w:p>
      <w:pPr>
        <w:pStyle w:val="Heading3"/>
      </w:pPr>
      <w:r>
        <w:t xml:space="preserve">Г2 (ИТизация). ИИ-инструменты сокращают трудозатраты на продукты на 20–35%, и доход приходит на 1–2 месяца раньше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Поле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Значение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Формулировка</w:t>
            </w:r>
          </w:p>
        </w:tc>
        <w:tc>
          <w:tcPr>
            <w:tcW w:w="4680" w:type="dxa"/>
          </w:tcPr>
          <w:p>
            <w:pPr/>
            <w:r>
              <w:t xml:space="preserve">Если команды интерфейса и восстановления применяют ИИ-ассистенты для кода, тестов и описания API по правилу «ИИ пишет, человек проверяет, тесты обязательны», то трудозатраты на продукты Г3–Г5 упадут на 20–35% и они запустятся на 1–2 месяца раньше, потому что большая часть работы — типовой код, тесты и документация API платформы ЮSoft, где ИИ уже ускоряет разработку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Строка P&amp;L</w:t>
            </w:r>
          </w:p>
        </w:tc>
        <w:tc>
          <w:tcPr>
            <w:tcW w:w="4680" w:type="dxa"/>
          </w:tcPr>
          <w:p>
            <w:pPr/>
            <w:r>
              <w:t xml:space="preserve">Выручка: ранний старт продуктов Г3–Г5 (месяцы выручки, сдвинутые вперёд)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Показатель и текущее значение</w:t>
            </w:r>
          </w:p>
        </w:tc>
        <w:tc>
          <w:tcPr>
            <w:tcW w:w="4680" w:type="dxa"/>
          </w:tcPr>
          <w:p>
            <w:pPr/>
            <w:r>
              <w:t xml:space="preserve">Трудозатраты на задачу, человеко-дни, и срок от задачи до релиза. Сейчас: ИИ-инструменты вводятся и ускоряют работу по опыту сотрудников, замеров нет (А17)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Порог</w:t>
            </w:r>
          </w:p>
        </w:tc>
        <w:tc>
          <w:tcPr>
            <w:tcW w:w="4680" w:type="dxa"/>
          </w:tcPr>
          <w:p>
            <w:pPr/>
            <w:r>
              <w:t xml:space="preserve">На 10 типовых задачах трудозатраты в среднем ниже на 20% и больше; доля задач, вернувшихся с ревью, не выросла более чем на 5 п.п.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Срок проверки</w:t>
            </w:r>
          </w:p>
        </w:tc>
        <w:tc>
          <w:tcPr>
            <w:tcW w:w="4680" w:type="dxa"/>
          </w:tcPr>
          <w:p>
            <w:pPr/>
            <w:r>
              <w:t xml:space="preserve">6 недель замеров, затем пересчёт плана на 3-м месяце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Опровергающее наблюдение</w:t>
            </w:r>
          </w:p>
        </w:tc>
        <w:tc>
          <w:tcPr>
            <w:tcW w:w="4680" w:type="dxa"/>
          </w:tcPr>
          <w:p>
            <w:pPr/>
            <w:r>
              <w:t xml:space="preserve">Экономия меньше 10% или возвраты с ревью выросли больше чем на 5 п.п. Значит, время уходит на проверку и правку ИИ-кода; сроки в плане возвращаем к прежним, а Г2 снимаем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Риск или неопределённость</w:t>
            </w:r>
          </w:p>
        </w:tc>
        <w:tc>
          <w:tcPr>
            <w:tcW w:w="4680" w:type="dxa"/>
          </w:tcPr>
          <w:p>
            <w:pPr/>
            <w:r>
              <w:t xml:space="preserve">Риск с известной частотой: ошибки ИИ-кода ловят ревью и тесты, их долю можно измерить. Неопределённость: эффект на новые продукты без аналогов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Что нужно для проверки</w:t>
            </w:r>
          </w:p>
        </w:tc>
        <w:tc>
          <w:tcPr>
            <w:tcW w:w="4680" w:type="dxa"/>
          </w:tcPr>
          <w:p>
            <w:pPr/>
            <w:r>
              <w:t xml:space="preserve">Лицензии на ИИ-инструменты (уже вводятся); 10 типовых задач из очереди; срок от задачи до релиза из трекера; правила ревью; ограничения ИБ на передачу кода и данных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Допущения</w:t>
            </w:r>
          </w:p>
        </w:tc>
        <w:tc>
          <w:tcPr>
            <w:tcW w:w="4680" w:type="dxa"/>
          </w:tcPr>
          <w:p>
            <w:pPr/>
            <w:r>
              <w:t xml:space="preserve">Экономия 20–35% — диапазон для проверки (А17); эффект реализуется только через Г3–Г5; в платёжное ядро ИИ-код идёт лишь через усиленное ревью, чтобы не ухудшить ответ ЦБ по надёжности</w:t>
            </w:r>
          </w:p>
        </w:tc>
      </w:tr>
    </w:tbl>
    <w:p>
      <w:pPr>
        <w:pStyle w:val="Heading3"/>
      </w:pPr>
      <w:r>
        <w:t xml:space="preserve">Г3. Не менее 4 годовых договоров ЮSoft с предоплатой благодаря трём датам дорожной карты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Поле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Значение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Формулировка</w:t>
            </w:r>
          </w:p>
        </w:tc>
        <w:tc>
          <w:tcPr>
            <w:tcW w:w="4680" w:type="dxa"/>
          </w:tcPr>
          <w:p>
            <w:pPr/>
            <w:r>
              <w:t xml:space="preserve">Если клиентам ЮSoft, требующим сроков, показать дорожную карту с тремя датами (этап 1 интерфейса, стабильное API v2, план поддержки) и предложить годовой договор со скидкой 10% за 100% предоплату, то будет подписано не менее 4 договоров (удержаны минимум 3 клиента из 4 требовавших и привлечён минимум 1 новый), потому что клиенты уходят из-за неопределённости сроков, а не из-за функций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Строка P&amp;L</w:t>
            </w:r>
          </w:p>
        </w:tc>
        <w:tc>
          <w:tcPr>
            <w:tcW w:w="4680" w:type="dxa"/>
          </w:tcPr>
          <w:p>
            <w:pPr/>
            <w:r>
              <w:t xml:space="preserve">Выручка: ЮSoft (годовые договоры с предоплатой)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Показатель и текущее значение</w:t>
            </w:r>
          </w:p>
        </w:tc>
        <w:tc>
          <w:tcPr>
            <w:tcW w:w="4680" w:type="dxa"/>
          </w:tcPr>
          <w:p>
            <w:pPr/>
            <w:r>
              <w:t xml:space="preserve">Число подписанных годовых договоров с предоплатой и число ушедших из требовавших сроков. Сейчас: клиенты и выручка ЮSoft не раскрыты (А9); допущение — 4 клиента требуют сроков (А20)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Порог</w:t>
            </w:r>
          </w:p>
        </w:tc>
        <w:tc>
          <w:tcPr>
            <w:tcW w:w="4680" w:type="dxa"/>
          </w:tcPr>
          <w:p>
            <w:pPr/>
            <w:r>
              <w:t xml:space="preserve">Не менее 4 договоров с предоплатой; ушёл не более 1 клиента из 4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Срок проверки</w:t>
            </w:r>
          </w:p>
        </w:tc>
        <w:tc>
          <w:tcPr>
            <w:tcW w:w="4680" w:type="dxa"/>
          </w:tcPr>
          <w:p>
            <w:pPr/>
            <w:r>
              <w:t xml:space="preserve">3 месяца после публикации дорожной карты (публикуем сразу после этапа 1 интерфейса)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Опровергающее наблюдение</w:t>
            </w:r>
          </w:p>
        </w:tc>
        <w:tc>
          <w:tcPr>
            <w:tcW w:w="4680" w:type="dxa"/>
          </w:tcPr>
          <w:p>
            <w:pPr/>
            <w:r>
              <w:t xml:space="preserve">Карта опубликована, но предоплату подписали меньше 2 клиентов или ушли 2 и больше. Значит, причина в цене или в недоверии к устойчивости ЮMoney; меняем предложение: гарантии непрерывности (эскроу исходного кода), скидка за срок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Риск или неопределённость</w:t>
            </w:r>
          </w:p>
        </w:tc>
        <w:tc>
          <w:tcPr>
            <w:tcW w:w="4680" w:type="dxa"/>
          </w:tcPr>
          <w:p>
            <w:pPr/>
            <w:r>
              <w:t xml:space="preserve">Неопределённость: числа клиентов ЮSoft и их оборота нет в открытых данных; нужен разговор с каждым клиентом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Что нужно для проверки</w:t>
            </w:r>
          </w:p>
        </w:tc>
        <w:tc>
          <w:tcPr>
            <w:tcW w:w="4680" w:type="dxa"/>
          </w:tcPr>
          <w:p>
            <w:pPr/>
            <w:r>
              <w:t xml:space="preserve">Список клиентов с договорами; дорожная карта, согласованная с руководителем ЮSoft; шаблон годового договора; коммерческий руководитель и юрист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Допущения</w:t>
            </w:r>
          </w:p>
        </w:tc>
        <w:tc>
          <w:tcPr>
            <w:tcW w:w="4680" w:type="dxa"/>
          </w:tcPr>
          <w:p>
            <w:pPr/>
            <w:r>
              <w:t xml:space="preserve">4–5 договоров × 20–40 млн ₽ в год после скидки (А20); этап 1 интерфейса выходит в срок</w:t>
            </w:r>
          </w:p>
        </w:tc>
      </w:tr>
    </w:tbl>
    <w:p>
      <w:pPr>
        <w:pStyle w:val="Heading3"/>
      </w:pPr>
      <w:r>
        <w:t xml:space="preserve">Г4. Клуб ЮMoney удерживает активными на 5 п.п. больше клиентов, чем контрольная группа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Поле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Значение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Формулировка</w:t>
            </w:r>
          </w:p>
        </w:tc>
        <w:tc>
          <w:tcPr>
            <w:tcW w:w="4680" w:type="dxa"/>
          </w:tcPr>
          <w:p>
            <w:pPr/>
            <w:r>
              <w:t xml:space="preserve">Если 20 000 клиентов кошелька, запросивших выгрузку или попавших в зону риска ухода, пригласить в «Клуб ЮMoney» (статус, кешбэк до 3% в трёх категориях, индивидуальный тариф на переводы — привилегии не переносятся вместе с данными), а ещё 20 000 таких же оставить контролем, то через 90 дней активными останется на 5 п.п. больше, потому что привилегии нельзя забрать выгрузкой, а банкам маркетплейсов нечем их мгновенно повторить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Строка P&amp;L</w:t>
            </w:r>
          </w:p>
        </w:tc>
        <w:tc>
          <w:tcPr>
            <w:tcW w:w="4680" w:type="dxa"/>
          </w:tcPr>
          <w:p>
            <w:pPr/>
            <w:r>
              <w:t xml:space="preserve">Выручка: переводы и платежи физлиц (≈ 10% выручки)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Показатель и текущее значение</w:t>
            </w:r>
          </w:p>
        </w:tc>
        <w:tc>
          <w:tcPr>
            <w:tcW w:w="4680" w:type="dxa"/>
          </w:tcPr>
          <w:p>
            <w:pPr/>
            <w:r>
              <w:t xml:space="preserve">Доля клиентов с операцией хотя бы раз за 30 дней, через 90 дней после приглашения: клуб против контроля. Сейчас: активная база не раскрыта (А6), контроля нет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Порог</w:t>
            </w:r>
          </w:p>
        </w:tc>
        <w:tc>
          <w:tcPr>
            <w:tcW w:w="4680" w:type="dxa"/>
          </w:tcPr>
          <w:p>
            <w:pPr/>
            <w:r>
              <w:t xml:space="preserve">Разница не меньше 5 п.п. в пользу клуба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Срок проверки</w:t>
            </w:r>
          </w:p>
        </w:tc>
        <w:tc>
          <w:tcPr>
            <w:tcW w:w="4680" w:type="dxa"/>
          </w:tcPr>
          <w:p>
            <w:pPr/>
            <w:r>
              <w:t xml:space="preserve">90 дней после запуска пилота (пилот — после этапа 2 интерфейса)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Опровергающее наблюдение</w:t>
            </w:r>
          </w:p>
        </w:tc>
        <w:tc>
          <w:tcPr>
            <w:tcW w:w="4680" w:type="dxa"/>
          </w:tcPr>
          <w:p>
            <w:pPr/>
            <w:r>
              <w:t xml:space="preserve">Разница меньше 2 п.п. Значит, привилегии не удерживают, а решают цена и удобство конкурента; клуб закрываем и не тратим остальные человеко-месяцы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Риск или неопределённость</w:t>
            </w:r>
          </w:p>
        </w:tc>
        <w:tc>
          <w:tcPr>
            <w:tcW w:w="4680" w:type="dxa"/>
          </w:tcPr>
          <w:p>
            <w:pPr/>
            <w:r>
              <w:t xml:space="preserve">Неопределённость: поведение клиентов при мгновенных предложениях банков маркетплейсов неизвестно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Что нужно для проверки</w:t>
            </w:r>
          </w:p>
        </w:tc>
        <w:tc>
          <w:tcPr>
            <w:tcW w:w="4680" w:type="dxa"/>
          </w:tcPr>
          <w:p>
            <w:pPr/>
            <w:r>
              <w:t xml:space="preserve">Две выборки по 20 000 клиентов, разделённые по жребию; расчёт стоимости привилегий; юридическая проверка правил клуба (ограничиваем привилегии, а не выдачу данных); 6 чел.-мес.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Допущения</w:t>
            </w:r>
          </w:p>
        </w:tc>
        <w:tc>
          <w:tcPr>
            <w:tcW w:w="4680" w:type="dxa"/>
          </w:tcPr>
          <w:p>
            <w:pPr/>
            <w:r>
              <w:t xml:space="preserve">Физлица ≈ 10% выручки, клуб поднимает их выручку на 5–10% уже после затрат на привилегии (А21); размер пилота — наш выбор (А25)</w:t>
            </w:r>
          </w:p>
        </w:tc>
      </w:tr>
    </w:tbl>
    <w:p>
      <w:pPr>
        <w:pStyle w:val="Heading3"/>
      </w:pPr>
      <w:r>
        <w:t xml:space="preserve">Г5. Предложения клиентам других банков по их данным дают 1 000–2 000 новых клиентов за 90 дней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Поле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Значение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Формулировка</w:t>
            </w:r>
          </w:p>
        </w:tc>
        <w:tc>
          <w:tcPr>
            <w:tcW w:w="4680" w:type="dxa"/>
          </w:tcPr>
          <w:p>
            <w:pPr/>
            <w:r>
              <w:t xml:space="preserve">Если с согласия клиентов запросить их данные у других участников рынка (право по лебедю 48) и отправить 50 000 таким клиентам персональное предложение карты и ЮBusiness, то 2–4% (1 000–2 000 человек) станут клиентами, потому что по оборотам клиента мы сделаем предложение точнее, чем рекламу «для всех»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Строка P&amp;L</w:t>
            </w:r>
          </w:p>
        </w:tc>
        <w:tc>
          <w:tcPr>
            <w:tcW w:w="4680" w:type="dxa"/>
          </w:tcPr>
          <w:p>
            <w:pPr/>
            <w:r>
              <w:t xml:space="preserve">Выручка: комиссии и обслуживание по картам и ЮBusiness новых клиентов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Показатель и текущее значение</w:t>
            </w:r>
          </w:p>
        </w:tc>
        <w:tc>
          <w:tcPr>
            <w:tcW w:w="4680" w:type="dxa"/>
          </w:tcPr>
          <w:p>
            <w:pPr/>
            <w:r>
              <w:t xml:space="preserve">Число новых клиентов за 90 дней и годовой доход на клиента. Сейчас: 0, данных других банков нет; право запроса действует вместе с вступлением правил (А16)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Порог</w:t>
            </w:r>
          </w:p>
        </w:tc>
        <w:tc>
          <w:tcPr>
            <w:tcW w:w="4680" w:type="dxa"/>
          </w:tcPr>
          <w:p>
            <w:pPr/>
            <w:r>
              <w:t xml:space="preserve">Не менее 1 000 новых клиентов из 50 000 предложений (конверсия от 2%) и доход не меньше 40 тыс. ₽ в год на клиента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Срок проверки</w:t>
            </w:r>
          </w:p>
        </w:tc>
        <w:tc>
          <w:tcPr>
            <w:tcW w:w="4680" w:type="dxa"/>
          </w:tcPr>
          <w:p>
            <w:pPr/>
            <w:r>
              <w:t xml:space="preserve">90 дней после первых запросов; старт — после запуска интерфейса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Опровергающее наблюдение</w:t>
            </w:r>
          </w:p>
        </w:tc>
        <w:tc>
          <w:tcPr>
            <w:tcW w:w="4680" w:type="dxa"/>
          </w:tcPr>
          <w:p>
            <w:pPr/>
            <w:r>
              <w:t xml:space="preserve">Конверсия ниже 1% или доход на клиента ниже 20 тыс. ₽ в год. Значит, данные не дают преимущества над обычной рекламой; гипотезу снимаем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Риск или неопределённость</w:t>
            </w:r>
          </w:p>
        </w:tc>
        <w:tc>
          <w:tcPr>
            <w:tcW w:w="4680" w:type="dxa"/>
          </w:tcPr>
          <w:p>
            <w:pPr/>
            <w:r>
              <w:t xml:space="preserve">Неопределённость: готовность других банков отвечать на запросы и доля клиентов, согласных на передачу данных, неизвестны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Что нужно для проверки</w:t>
            </w:r>
          </w:p>
        </w:tc>
        <w:tc>
          <w:tcPr>
            <w:tcW w:w="4680" w:type="dxa"/>
          </w:tcPr>
          <w:p>
            <w:pPr/>
            <w:r>
              <w:t xml:space="preserve">Работающий интерфейс; согласия клиентов; юридическая проверка права запроса; 5 чел.-мес. на движок предложений и воронку ЮBusiness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Допущения</w:t>
            </w:r>
          </w:p>
        </w:tc>
        <w:tc>
          <w:tcPr>
            <w:tcW w:w="4680" w:type="dxa"/>
          </w:tcPr>
          <w:p>
            <w:pPr/>
            <w:r>
              <w:t xml:space="preserve">50 000 предложений × 2–4% × 40–60 тыс. ₽ в год = 40–120 млн ₽ (А24); размер пилота — наш выбор (А25)</w:t>
            </w:r>
          </w:p>
        </w:tc>
      </w:tr>
    </w:tbl>
    <w:p>
      <w:pPr>
        <w:pStyle w:val="Heading2"/>
      </w:pPr>
      <w:r>
        <w:t xml:space="preserve">Привязка к P&amp;L</w:t>
      </w:r>
    </w:p>
    <w:p>
      <w:pPr/>
      <w:r>
        <w:t xml:space="preserve">Пять гипотез дают 2,1–5,9% годовой выручки: Г3–Г5 приносят новый рост 1,2–2,7%, Г1 сохраняет 0,9–2,7% уже имеющейся, Г2 приближает доходы на 1–2 месяца. База для процентов — годовая выручка после лебедя 67, ≈ 18,4 млрд ₽ (А14).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Гипотеза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Строка P&amp;L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Механика влияния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Эффект, % выручки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Откуда оценка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Г1 Топ-30 магазинов остаются</w:t>
            </w:r>
          </w:p>
        </w:tc>
        <w:tc>
          <w:tcPr>
            <w:tcW w:w="1872" w:type="dxa"/>
          </w:tcPr>
          <w:p>
            <w:pPr/>
            <w:r>
              <w:t xml:space="preserve">Выручка: комиссии ЮKassa</w:t>
            </w:r>
          </w:p>
        </w:tc>
        <w:tc>
          <w:tcPr>
            <w:tcW w:w="1872" w:type="dxa"/>
          </w:tcPr>
          <w:p>
            <w:pPr/>
            <w:r>
              <w:t xml:space="preserve">Данные за 2 рабочих дня и фиксация комиссии → магазины не уходят → комиссия сохраняется</w:t>
            </w:r>
          </w:p>
        </w:tc>
        <w:tc>
          <w:tcPr>
            <w:tcW w:w="1872" w:type="dxa"/>
          </w:tcPr>
          <w:p>
            <w:pPr/>
            <w:r>
              <w:t xml:space="preserve">0,89–2,67 (сохранённая выручка)</w:t>
            </w:r>
          </w:p>
        </w:tc>
        <w:tc>
          <w:tcPr>
            <w:tcW w:w="1872" w:type="dxa"/>
          </w:tcPr>
          <w:p>
            <w:pPr/>
            <w:r>
              <w:t xml:space="preserve">1–3% комиссий ЮKassa: 16,3 млрд ₽ × 1–3% = 163–490 млн ₽ (А15, А22)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Г2 ИИ-инструменты в разработке</w:t>
            </w:r>
          </w:p>
        </w:tc>
        <w:tc>
          <w:tcPr>
            <w:tcW w:w="1872" w:type="dxa"/>
          </w:tcPr>
          <w:p>
            <w:pPr/>
            <w:r>
              <w:t xml:space="preserve">Выручка: ранний старт Г3–Г5</w:t>
            </w:r>
          </w:p>
        </w:tc>
        <w:tc>
          <w:tcPr>
            <w:tcW w:w="1872" w:type="dxa"/>
          </w:tcPr>
          <w:p>
            <w:pPr/>
            <w:r>
              <w:t xml:space="preserve">−20…35% трудозатрат → продукты запускаются на 1–2 месяца раньше → месяцы выручки сдвигаются вперёд</w:t>
            </w:r>
          </w:p>
        </w:tc>
        <w:tc>
          <w:tcPr>
            <w:tcW w:w="1872" w:type="dxa"/>
          </w:tcPr>
          <w:p>
            <w:pPr/>
            <w:r>
              <w:t xml:space="preserve">0,10–0,46</w:t>
            </w:r>
          </w:p>
        </w:tc>
        <w:tc>
          <w:tcPr>
            <w:tcW w:w="1872" w:type="dxa"/>
          </w:tcPr>
          <w:p>
            <w:pPr/>
            <w:r>
              <w:t xml:space="preserve">годовая выручка Г3–Г5 = 212–504 млн ₽; в месяц 18–42 млн ₽; × 1–2 месяца = 18–84 млн ₽ (А17)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Г3 ЮSoft: три даты и предоплата</w:t>
            </w:r>
          </w:p>
        </w:tc>
        <w:tc>
          <w:tcPr>
            <w:tcW w:w="1872" w:type="dxa"/>
          </w:tcPr>
          <w:p>
            <w:pPr/>
            <w:r>
              <w:t xml:space="preserve">Выручка: ЮSoft</w:t>
            </w:r>
          </w:p>
        </w:tc>
        <w:tc>
          <w:tcPr>
            <w:tcW w:w="1872" w:type="dxa"/>
          </w:tcPr>
          <w:p>
            <w:pPr/>
            <w:r>
              <w:t xml:space="preserve">Дорожная карта удерживает клиентов, годовая предоплата фиксирует выручку</w:t>
            </w:r>
          </w:p>
        </w:tc>
        <w:tc>
          <w:tcPr>
            <w:tcW w:w="1872" w:type="dxa"/>
          </w:tcPr>
          <w:p>
            <w:pPr/>
            <w:r>
              <w:t xml:space="preserve">0,44–1,09</w:t>
            </w:r>
          </w:p>
        </w:tc>
        <w:tc>
          <w:tcPr>
            <w:tcW w:w="1872" w:type="dxa"/>
          </w:tcPr>
          <w:p>
            <w:pPr/>
            <w:r>
              <w:t xml:space="preserve">4–5 договоров × 20–40 млн ₽ = 80–200 млн ₽ (А20)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Г4 Клуб ЮMoney</w:t>
            </w:r>
          </w:p>
        </w:tc>
        <w:tc>
          <w:tcPr>
            <w:tcW w:w="1872" w:type="dxa"/>
          </w:tcPr>
          <w:p>
            <w:pPr/>
            <w:r>
              <w:t xml:space="preserve">Выручка: переводы и платежи физлиц</w:t>
            </w:r>
          </w:p>
        </w:tc>
        <w:tc>
          <w:tcPr>
            <w:tcW w:w="1872" w:type="dxa"/>
          </w:tcPr>
          <w:p>
            <w:pPr/>
            <w:r>
              <w:t xml:space="preserve">Привилегии удерживают клиентов, которые иначе ушли бы после выгрузки</w:t>
            </w:r>
          </w:p>
        </w:tc>
        <w:tc>
          <w:tcPr>
            <w:tcW w:w="1872" w:type="dxa"/>
          </w:tcPr>
          <w:p>
            <w:pPr/>
            <w:r>
              <w:t xml:space="preserve">0,50–1,00</w:t>
            </w:r>
          </w:p>
        </w:tc>
        <w:tc>
          <w:tcPr>
            <w:tcW w:w="1872" w:type="dxa"/>
          </w:tcPr>
          <w:p>
            <w:pPr/>
            <w:r>
              <w:t xml:space="preserve">10% выручки (1,84 млрд ₽) × 5–10% = 92–184 млн ₽ (А21)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Г5 Предложения клиентам других банков</w:t>
            </w:r>
          </w:p>
        </w:tc>
        <w:tc>
          <w:tcPr>
            <w:tcW w:w="1872" w:type="dxa"/>
          </w:tcPr>
          <w:p>
            <w:pPr/>
            <w:r>
              <w:t xml:space="preserve">Выручка: карты и ЮBusiness</w:t>
            </w:r>
          </w:p>
        </w:tc>
        <w:tc>
          <w:tcPr>
            <w:tcW w:w="1872" w:type="dxa"/>
          </w:tcPr>
          <w:p>
            <w:pPr/>
            <w:r>
              <w:t xml:space="preserve">Данные других банков дают точное предложение → новые клиенты</w:t>
            </w:r>
          </w:p>
        </w:tc>
        <w:tc>
          <w:tcPr>
            <w:tcW w:w="1872" w:type="dxa"/>
          </w:tcPr>
          <w:p>
            <w:pPr/>
            <w:r>
              <w:t xml:space="preserve">0,22–0,65</w:t>
            </w:r>
          </w:p>
        </w:tc>
        <w:tc>
          <w:tcPr>
            <w:tcW w:w="1872" w:type="dxa"/>
          </w:tcPr>
          <w:p>
            <w:pPr/>
            <w:r>
              <w:t xml:space="preserve">1 000–2 000 клиентов × 40–60 тыс. ₽ в год = 40–120 млн ₽ (А24)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b/>
              </w:rPr>
              <w:t xml:space="preserve">Итого</w:t>
            </w:r>
          </w:p>
        </w:tc>
        <w:tc>
          <w:tcPr>
            <w:tcW w:w="1872" w:type="dxa"/>
          </w:tcPr>
          <w:p>
            <w:pPr/>
          </w:p>
        </w:tc>
        <w:tc>
          <w:tcPr>
            <w:tcW w:w="1872" w:type="dxa"/>
          </w:tcPr>
          <w:p>
            <w:pPr/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2,14–5,87</w:t>
            </w:r>
          </w:p>
        </w:tc>
        <w:tc>
          <w:tcPr>
            <w:tcW w:w="1872" w:type="dxa"/>
          </w:tcPr>
          <w:p>
            <w:pPr/>
            <w:r>
              <w:t xml:space="preserve">сумма строк, без учёта пересечений</w:t>
            </w:r>
          </w:p>
        </w:tc>
      </w:tr>
    </w:tbl>
    <w:p>
      <w:pPr/>
      <w:r>
        <w:t xml:space="preserve">Ориентир рынка — +9% (А23); все оценки ниже него, объяснять превышение не нужно. Сумма завышена: Г3 и Г5 могут продаваться одним и тем же клиентам, а Г1 — не добавление к выручке, а непотерянная часть уже имеющейся. Гипотез на экономию нет: задание касается только выручки.</w:t>
      </w:r>
    </w:p>
    <w:p>
      <w:pPr>
        <w:pStyle w:val="Heading2"/>
      </w:pPr>
      <w:r>
        <w:t xml:space="preserve">Приоритизация</w:t>
      </w:r>
    </w:p>
    <w:p>
      <w:pPr/>
      <w:r>
        <w:t xml:space="preserve">Пять гипотез сравниваются одной формулой: приоритет P — это ожидаемый эффект на человеко-месяц работы с поправкой на уверенность в данных. Все числа взяты из таблицы «Привязка к P&amp;L» и допущений А15–А25.</w:t>
      </w:r>
    </w:p>
    <w:p>
      <w:pPr>
        <w:pStyle w:val="Code"/>
      </w:pPr>
      <w:bookmarkStart w:id="1" w:name="bongo_lang_latex_1"/>
      <w:bookmarkEnd w:id="1"/>
      <w:r>
        <w:t xml:space="preserve">P = \frac{E \cdot C}{T}</w:t>
      </w:r>
    </w:p>
    <w:p>
      <w:pPr/>
      <w:r>
        <w:t xml:space="preserve">E — середина диапазона эффекта из таблицы выше, % выручки; C — уверенность по шкале ПР1 (низкая 0,3, средняя 0,5, выше средней 0,7); T — трудозатраты в человеко-месяцах (А18). Уверенность берётся из качества данных: чем ближе цифры к измеренным, тем выше.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w="1337" w:type="dxa"/>
            <w:shd w:val="clear" w:color="auto" w:fill="F2F2F2"/>
          </w:tcPr>
          <w:p>
            <w:pPr/>
            <w:r>
              <w:t xml:space="preserve">Гипотеза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E, % выручки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C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T, чел.-мес.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Расчёт E · C / T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P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Ранг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Г1 Топ-30 магазинов остаются</w:t>
            </w:r>
          </w:p>
        </w:tc>
        <w:tc>
          <w:tcPr>
            <w:tcW w:w="1337" w:type="dxa"/>
          </w:tcPr>
          <w:p>
            <w:pPr/>
            <w:r>
              <w:t xml:space="preserve">1,78 (середина 0,89–2,67)</w:t>
            </w:r>
          </w:p>
        </w:tc>
        <w:tc>
          <w:tcPr>
            <w:tcW w:w="1337" w:type="dxa"/>
          </w:tcPr>
          <w:p>
            <w:pPr/>
            <w:r>
              <w:t xml:space="preserve">0,5</w:t>
            </w:r>
          </w:p>
        </w:tc>
        <w:tc>
          <w:tcPr>
            <w:tcW w:w="1337" w:type="dxa"/>
          </w:tcPr>
          <w:p>
            <w:pPr/>
            <w:r>
              <w:t xml:space="preserve">3</w:t>
            </w:r>
          </w:p>
        </w:tc>
        <w:tc>
          <w:tcPr>
            <w:tcW w:w="1337" w:type="dxa"/>
          </w:tcPr>
          <w:p>
            <w:pPr/>
            <w:r>
              <w:t xml:space="preserve">1,78 × 0,5 / 3</w:t>
            </w:r>
          </w:p>
        </w:tc>
        <w:tc>
          <w:tcPr>
            <w:tcW w:w="1337" w:type="dxa"/>
          </w:tcPr>
          <w:p>
            <w:pPr/>
            <w:r>
              <w:t xml:space="preserve">0,297</w:t>
            </w:r>
          </w:p>
        </w:tc>
        <w:tc>
          <w:tcPr>
            <w:tcW w:w="1337" w:type="dxa"/>
          </w:tcPr>
          <w:p>
            <w:pPr/>
            <w:r>
              <w:t xml:space="preserve">1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Г2 ИИ-инструменты в разработке</w:t>
            </w:r>
          </w:p>
        </w:tc>
        <w:tc>
          <w:tcPr>
            <w:tcW w:w="1337" w:type="dxa"/>
          </w:tcPr>
          <w:p>
            <w:pPr/>
            <w:r>
              <w:t xml:space="preserve">0,28 (середина 0,10–0,46)</w:t>
            </w:r>
          </w:p>
        </w:tc>
        <w:tc>
          <w:tcPr>
            <w:tcW w:w="1337" w:type="dxa"/>
          </w:tcPr>
          <w:p>
            <w:pPr/>
            <w:r>
              <w:t xml:space="preserve">0,5</w:t>
            </w:r>
          </w:p>
        </w:tc>
        <w:tc>
          <w:tcPr>
            <w:tcW w:w="1337" w:type="dxa"/>
          </w:tcPr>
          <w:p>
            <w:pPr/>
            <w:r>
              <w:t xml:space="preserve">2</w:t>
            </w:r>
          </w:p>
        </w:tc>
        <w:tc>
          <w:tcPr>
            <w:tcW w:w="1337" w:type="dxa"/>
          </w:tcPr>
          <w:p>
            <w:pPr/>
            <w:r>
              <w:t xml:space="preserve">0,28 × 0,5 / 2</w:t>
            </w:r>
          </w:p>
        </w:tc>
        <w:tc>
          <w:tcPr>
            <w:tcW w:w="1337" w:type="dxa"/>
          </w:tcPr>
          <w:p>
            <w:pPr/>
            <w:r>
              <w:t xml:space="preserve">0,070</w:t>
            </w:r>
          </w:p>
        </w:tc>
        <w:tc>
          <w:tcPr>
            <w:tcW w:w="1337" w:type="dxa"/>
          </w:tcPr>
          <w:p>
            <w:pPr/>
            <w:r>
              <w:t xml:space="preserve">2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Г3 ЮSoft: три даты и предоплата</w:t>
            </w:r>
          </w:p>
        </w:tc>
        <w:tc>
          <w:tcPr>
            <w:tcW w:w="1337" w:type="dxa"/>
          </w:tcPr>
          <w:p>
            <w:pPr/>
            <w:r>
              <w:t xml:space="preserve">0,77 (середина 0,44–1,09)</w:t>
            </w:r>
          </w:p>
        </w:tc>
        <w:tc>
          <w:tcPr>
            <w:tcW w:w="1337" w:type="dxa"/>
          </w:tcPr>
          <w:p>
            <w:pPr/>
            <w:r>
              <w:t xml:space="preserve">0,3</w:t>
            </w:r>
          </w:p>
        </w:tc>
        <w:tc>
          <w:tcPr>
            <w:tcW w:w="1337" w:type="dxa"/>
          </w:tcPr>
          <w:p>
            <w:pPr/>
            <w:r>
              <w:t xml:space="preserve">4</w:t>
            </w:r>
          </w:p>
        </w:tc>
        <w:tc>
          <w:tcPr>
            <w:tcW w:w="1337" w:type="dxa"/>
          </w:tcPr>
          <w:p>
            <w:pPr/>
            <w:r>
              <w:t xml:space="preserve">0,77 × 0,3 / 4</w:t>
            </w:r>
          </w:p>
        </w:tc>
        <w:tc>
          <w:tcPr>
            <w:tcW w:w="1337" w:type="dxa"/>
          </w:tcPr>
          <w:p>
            <w:pPr/>
            <w:r>
              <w:t xml:space="preserve">0,057</w:t>
            </w:r>
          </w:p>
        </w:tc>
        <w:tc>
          <w:tcPr>
            <w:tcW w:w="1337" w:type="dxa"/>
          </w:tcPr>
          <w:p>
            <w:pPr/>
            <w:r>
              <w:t xml:space="preserve">3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Г4 Клуб ЮMoney</w:t>
            </w:r>
          </w:p>
        </w:tc>
        <w:tc>
          <w:tcPr>
            <w:tcW w:w="1337" w:type="dxa"/>
          </w:tcPr>
          <w:p>
            <w:pPr/>
            <w:r>
              <w:t xml:space="preserve">0,75 (середина 0,50–1,00)</w:t>
            </w:r>
          </w:p>
        </w:tc>
        <w:tc>
          <w:tcPr>
            <w:tcW w:w="1337" w:type="dxa"/>
          </w:tcPr>
          <w:p>
            <w:pPr/>
            <w:r>
              <w:t xml:space="preserve">0,3</w:t>
            </w:r>
          </w:p>
        </w:tc>
        <w:tc>
          <w:tcPr>
            <w:tcW w:w="1337" w:type="dxa"/>
          </w:tcPr>
          <w:p>
            <w:pPr/>
            <w:r>
              <w:t xml:space="preserve">6</w:t>
            </w:r>
          </w:p>
        </w:tc>
        <w:tc>
          <w:tcPr>
            <w:tcW w:w="1337" w:type="dxa"/>
          </w:tcPr>
          <w:p>
            <w:pPr/>
            <w:r>
              <w:t xml:space="preserve">0,75 × 0,3 / 6</w:t>
            </w:r>
          </w:p>
        </w:tc>
        <w:tc>
          <w:tcPr>
            <w:tcW w:w="1337" w:type="dxa"/>
          </w:tcPr>
          <w:p>
            <w:pPr/>
            <w:r>
              <w:t xml:space="preserve">0,038</w:t>
            </w:r>
          </w:p>
        </w:tc>
        <w:tc>
          <w:tcPr>
            <w:tcW w:w="1337" w:type="dxa"/>
          </w:tcPr>
          <w:p>
            <w:pPr/>
            <w:r>
              <w:t xml:space="preserve">4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Г5 Предложения клиентам других банков</w:t>
            </w:r>
          </w:p>
        </w:tc>
        <w:tc>
          <w:tcPr>
            <w:tcW w:w="1337" w:type="dxa"/>
          </w:tcPr>
          <w:p>
            <w:pPr/>
            <w:r>
              <w:t xml:space="preserve">0,44 (середина 0,22–0,65)</w:t>
            </w:r>
          </w:p>
        </w:tc>
        <w:tc>
          <w:tcPr>
            <w:tcW w:w="1337" w:type="dxa"/>
          </w:tcPr>
          <w:p>
            <w:pPr/>
            <w:r>
              <w:t xml:space="preserve">0,3</w:t>
            </w:r>
          </w:p>
        </w:tc>
        <w:tc>
          <w:tcPr>
            <w:tcW w:w="1337" w:type="dxa"/>
          </w:tcPr>
          <w:p>
            <w:pPr/>
            <w:r>
              <w:t xml:space="preserve">5</w:t>
            </w:r>
          </w:p>
        </w:tc>
        <w:tc>
          <w:tcPr>
            <w:tcW w:w="1337" w:type="dxa"/>
          </w:tcPr>
          <w:p>
            <w:pPr/>
            <w:r>
              <w:t xml:space="preserve">0,44 × 0,3 / 5</w:t>
            </w:r>
          </w:p>
        </w:tc>
        <w:tc>
          <w:tcPr>
            <w:tcW w:w="1337" w:type="dxa"/>
          </w:tcPr>
          <w:p>
            <w:pPr/>
            <w:r>
              <w:t xml:space="preserve">0,026</w:t>
            </w:r>
          </w:p>
        </w:tc>
        <w:tc>
          <w:tcPr>
            <w:tcW w:w="1337" w:type="dxa"/>
          </w:tcPr>
          <w:p>
            <w:pPr/>
            <w:r>
              <w:t xml:space="preserve">5</w:t>
            </w:r>
          </w:p>
        </w:tc>
      </w:tr>
    </w:tbl>
    <w:p>
      <w:pPr/>
      <w:r>
        <w:t xml:space="preserve">Уверенность C: у Г1 и Г2 она 0,5, потому что обе проверяются на данных, которые компания уже собирает (журнал запросов, замеры по типовым задачам); у Г3–Г5 — 0,3, потому что эффект опирается на допущения о договорах, клубе и конверсии (А20, А21, А24).</w:t>
      </w:r>
    </w:p>
    <w:p>
      <w:pPr/>
      <w:r>
        <w:t xml:space="preserve">Ранг Г1 устойчив. При середине диапазона она в 4,2 раза выше Г2. Если взять нижнюю границу эффекта (0,89%), P = 0,89 × 0,5 / 3 = 0,148 — всё равно в 2,1 раза выше Г2. Чтобы Г1 потеряла первое место, эффект должен упасть ниже 0,42% выручки, то есть магазины должны уходить почти без последствий.</w:t>
      </w:r>
    </w:p>
    <w:p>
      <w:pPr/>
      <w:r>
        <w:t xml:space="preserve">Г2 стоит второй потому, что дёшева (2 чел.-мес.), но денег сама по себе не приносит: месяцы выручки сдвигаются только если Г3–Г5 вообще запускаются. Поэтому Г2 берётся как ускоритель остальных, а не как самостоятельный источник дохода.</w:t>
      </w:r>
    </w:p>
    <w:p>
      <w:pPr/>
      <w:r>
        <w:rPr>
          <w:b/>
        </w:rPr>
        <w:t xml:space="preserve">Ограничение по людям.</w:t>
      </w:r>
      <w:r>
        <w:t xml:space="preserve"> Платёжное ядро в расчёт не входит: его людей нельзя снимать с предписания ЦБ. Команда восстановления — 6 человек по 70% времени, то есть 4,2 чел.-мес. в месяц, в «Шраме» — 2,1 (А19). Интерфейс для ЦБ (≈10 чел.-мес., А18) — обязательный проект по предписанию, а не гипотеза: в рейтинге он не участвует, его делает платёжное ядро, но без стадии 1 нет даты для Г3.</w:t>
      </w:r>
    </w:p>
    <w:p>
      <w:pPr>
        <w:pStyle w:val="Heading2"/>
      </w:pPr>
      <w:r>
        <w:t xml:space="preserve">В работу и в резерв</w:t>
      </w:r>
    </w:p>
    <w:p>
      <w:pPr/>
      <w:r>
        <w:t xml:space="preserve">В ПР3 берём три гипотезы — Г1, Г2 и Г3: они занимают первые три строки рейтинга с учётом зависимости (Г2 даёт деньги только через Г3–Г5), и все три помещаются в ёмкость «Шрама». Г4 и Г5 уходят в резерв с явным условием запуска.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Гипотеза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Решение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Готовность в «Шраме», мес.: без ИИ → с ИИ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Готовность в базе, мес.: без ИИ → с ИИ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Условие и причина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Г1 Топ-30 магазинов</w:t>
            </w:r>
          </w:p>
        </w:tc>
        <w:tc>
          <w:tcPr>
            <w:tcW w:w="1872" w:type="dxa"/>
          </w:tcPr>
          <w:p>
            <w:pPr/>
            <w:r>
              <w:t xml:space="preserve">В работу</w:t>
            </w:r>
          </w:p>
        </w:tc>
        <w:tc>
          <w:tcPr>
            <w:tcW w:w="1872" w:type="dxa"/>
          </w:tcPr>
          <w:p>
            <w:pPr/>
            <w:r>
              <w:t xml:space="preserve">2 → 2</w:t>
            </w:r>
          </w:p>
        </w:tc>
        <w:tc>
          <w:tcPr>
            <w:tcW w:w="1872" w:type="dxa"/>
          </w:tcPr>
          <w:p>
            <w:pPr/>
            <w:r>
              <w:t xml:space="preserve">1 → 1</w:t>
            </w:r>
          </w:p>
        </w:tc>
        <w:tc>
          <w:tcPr>
            <w:tcW w:w="1872" w:type="dxa"/>
          </w:tcPr>
          <w:p>
            <w:pPr/>
            <w:r>
              <w:t xml:space="preserve">Ранг 1; делают поддержка и юристы, ИИ не ускоряет — это коммерческий процесс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Г2 ИИ-инструменты</w:t>
            </w:r>
          </w:p>
        </w:tc>
        <w:tc>
          <w:tcPr>
            <w:tcW w:w="1872" w:type="dxa"/>
          </w:tcPr>
          <w:p>
            <w:pPr/>
            <w:r>
              <w:t xml:space="preserve">В работу</w:t>
            </w:r>
          </w:p>
        </w:tc>
        <w:tc>
          <w:tcPr>
            <w:tcW w:w="1872" w:type="dxa"/>
          </w:tcPr>
          <w:p>
            <w:pPr/>
            <w:r>
              <w:t xml:space="preserve">— → 3</w:t>
            </w:r>
          </w:p>
        </w:tc>
        <w:tc>
          <w:tcPr>
            <w:tcW w:w="1872" w:type="dxa"/>
          </w:tcPr>
          <w:p>
            <w:pPr/>
            <w:r>
              <w:t xml:space="preserve">— → 2</w:t>
            </w:r>
          </w:p>
        </w:tc>
        <w:tc>
          <w:tcPr>
            <w:tcW w:w="1872" w:type="dxa"/>
          </w:tcPr>
          <w:p>
            <w:pPr/>
            <w:r>
              <w:t xml:space="preserve">Ранг 2; её эффект — сдвиг Г3–Г5 на 1–2 месяца; в платёжное ядро — только через усиленное ревью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Г3 ЮSoft: три даты</w:t>
            </w:r>
          </w:p>
        </w:tc>
        <w:tc>
          <w:tcPr>
            <w:tcW w:w="1872" w:type="dxa"/>
          </w:tcPr>
          <w:p>
            <w:pPr/>
            <w:r>
              <w:t xml:space="preserve">В работу</w:t>
            </w:r>
          </w:p>
        </w:tc>
        <w:tc>
          <w:tcPr>
            <w:tcW w:w="1872" w:type="dxa"/>
          </w:tcPr>
          <w:p>
            <w:pPr/>
            <w:r>
              <w:t xml:space="preserve">4 → 4</w:t>
            </w:r>
          </w:p>
        </w:tc>
        <w:tc>
          <w:tcPr>
            <w:tcW w:w="1872" w:type="dxa"/>
          </w:tcPr>
          <w:p>
            <w:pPr/>
            <w:r>
              <w:t xml:space="preserve">2 → 2</w:t>
            </w:r>
          </w:p>
        </w:tc>
        <w:tc>
          <w:tcPr>
            <w:tcW w:w="1872" w:type="dxa"/>
          </w:tcPr>
          <w:p>
            <w:pPr/>
            <w:r>
              <w:t xml:space="preserve">Ранг 3; срок задан стадией 1 интерфейса, а не трудозатратами; клиенты ждут даты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Г4 Клуб ЮMoney</w:t>
            </w:r>
          </w:p>
        </w:tc>
        <w:tc>
          <w:tcPr>
            <w:tcW w:w="1872" w:type="dxa"/>
          </w:tcPr>
          <w:p>
            <w:pPr/>
            <w:r>
              <w:t xml:space="preserve">Резерв</w:t>
            </w:r>
          </w:p>
        </w:tc>
        <w:tc>
          <w:tcPr>
            <w:tcW w:w="1872" w:type="dxa"/>
          </w:tcPr>
          <w:p>
            <w:pPr/>
            <w:r>
              <w:t xml:space="preserve">7 → 6</w:t>
            </w:r>
          </w:p>
        </w:tc>
        <w:tc>
          <w:tcPr>
            <w:tcW w:w="1872" w:type="dxa"/>
          </w:tcPr>
          <w:p>
            <w:pPr/>
            <w:r>
              <w:t xml:space="preserve">4 → 3</w:t>
            </w:r>
          </w:p>
        </w:tc>
        <w:tc>
          <w:tcPr>
            <w:tcW w:w="1872" w:type="dxa"/>
          </w:tcPr>
          <w:p>
            <w:pPr/>
            <w:r>
              <w:t xml:space="preserve">Пилот после стадии 2 интерфейса, если Г1–Г3 дали первые результаты; P = 0,038, дорогая (6 чел.-мес.)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Г5 Предложения клиентам других банков</w:t>
            </w:r>
          </w:p>
        </w:tc>
        <w:tc>
          <w:tcPr>
            <w:tcW w:w="1872" w:type="dxa"/>
          </w:tcPr>
          <w:p>
            <w:pPr/>
            <w:r>
              <w:t xml:space="preserve">Резерв до запуска интерфейса</w:t>
            </w:r>
          </w:p>
        </w:tc>
        <w:tc>
          <w:tcPr>
            <w:tcW w:w="1872" w:type="dxa"/>
          </w:tcPr>
          <w:p>
            <w:pPr/>
            <w:r>
              <w:t xml:space="preserve">9 → 8</w:t>
            </w:r>
          </w:p>
        </w:tc>
        <w:tc>
          <w:tcPr>
            <w:tcW w:w="1872" w:type="dxa"/>
          </w:tcPr>
          <w:p>
            <w:pPr/>
            <w:r>
              <w:t xml:space="preserve">5 → 4</w:t>
            </w:r>
          </w:p>
        </w:tc>
        <w:tc>
          <w:tcPr>
            <w:tcW w:w="1872" w:type="dxa"/>
          </w:tcPr>
          <w:p>
            <w:pPr/>
            <w:r>
              <w:t xml:space="preserve">Нужны данные других банков через интерфейс; P = 0,026, низкая уверенность (0,3)</w:t>
            </w:r>
          </w:p>
        </w:tc>
      </w:tr>
    </w:tbl>
    <w:p>
      <w:pPr/>
      <w:r>
        <w:t xml:space="preserve">Проверка ёмкости: Г2 и Г3 вместе — 6 чел.-мес., при 2,1 чел.-мес. в месяц это порядка 2,9 месяца работы; с учётом месяца на запуск получаем готовность на 3-м и 4-м месяце. Г1 ёмкость команды восстановления не занимает: её делают поддержка и юристы (А22).</w:t>
      </w:r>
    </w:p>
    <w:p>
      <w:pPr/>
      <w:r>
        <w:rPr>
          <w:b/>
        </w:rPr>
        <w:t xml:space="preserve">Ответ собственникам: что выпустит оставшаяся команда и когда.</w:t>
      </w:r>
      <w:r>
        <w:t xml:space="preserve"> В «Шраме» по порядку: Г1 — на 2-м месяце, Г2 — на 3-м, Г3 — на 4-м, Г4 — на 6-м, Г5 — на 8-м. ИИ-инструменты дают около месяца на продуктах Г4–Г5. В базовом сценарии всё проходит вдвое быстрее: Г4 — на 3-м месяце, Г5 — на 4-м. Сроки показывают готовность продукта, а не полученные деньги: доход придёт после проверки порога.</w:t>
      </w:r>
    </w:p>
    <w:p>
      <w:pPr/>
      <w:r>
        <w:rPr>
          <w:b/>
        </w:rPr>
        <w:t xml:space="preserve">Что не делаем и почему</w:t>
      </w:r>
    </w:p>
    <w:p>
      <w:pPr>
        <w:pStyle w:val="ListParagraph"/>
        <w:numPr>
          <w:ilvl w:val="0"/>
          <w:numId w:val="2"/>
        </w:numPr>
      </w:pPr>
      <w:r>
        <w:t xml:space="preserve">Не поднимаем комиссию ЮKassa: при угрозе ухода магазинов это ускорит отток, а Г1 проверяет именно удержание на прежних условиях.</w:t>
      </w:r>
    </w:p>
    <w:p>
      <w:pPr>
        <w:pStyle w:val="ListParagraph"/>
        <w:numPr>
          <w:ilvl w:val="0"/>
          <w:numId w:val="2"/>
        </w:numPr>
      </w:pPr>
      <w:r>
        <w:t xml:space="preserve">Не записываем «купить готовый продукт» как отдельную гипотезу: покупка остаётся инструментом внутри Г3 и Г5, как покупка NeXT в истории Apple 1997 года.</w:t>
      </w:r>
    </w:p>
    <w:p>
      <w:pPr>
        <w:pStyle w:val="ListParagraph"/>
        <w:numPr>
          <w:ilvl w:val="0"/>
          <w:numId w:val="2"/>
        </w:numPr>
      </w:pPr>
      <w:r>
        <w:t xml:space="preserve">MCP-сервер и СБП-планшеты стоят в резерве идей без карточки: у них нет измеримого порога и срока.</w:t>
      </w:r>
    </w:p>
    <w:p>
      <w:pPr>
        <w:pStyle w:val="ListParagraph"/>
        <w:numPr>
          <w:ilvl w:val="0"/>
          <w:numId w:val="2"/>
        </w:numPr>
      </w:pPr>
      <w:r>
        <w:t xml:space="preserve">Не скрываем срыв срока от ЦБ и кредиторов: ответ — письмо с новыми датами, оно уже входит в Г1.</w:t>
      </w:r>
    </w:p>
    <w:p>
      <w:pPr>
        <w:pStyle w:val="Heading2"/>
      </w:pPr>
      <w:r>
        <w:t xml:space="preserve">Реестр допущений и источники</w:t>
      </w:r>
    </w:p>
    <w:p>
      <w:pPr/>
      <w:r>
        <w:t xml:space="preserve">Реестр пополнен одиннадцатью строками А15–А25; все они — допущения с низкой уверенностью, кроме ориентира рынка. Строки А1–А14 остаются как в ПР1 (</w:t>
      </w:r>
      <w:r>
        <w:t xml:space="preserve">ПР1 — Бизнес и его ИТ: ЮMoney</w:t>
      </w:r>
      <w:r>
        <w:t xml:space="preserve">); здесь использованы А1, А2, А6, А9 и А14.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№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Цифра или утверждение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Откуда оценка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Уверенность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Как проверить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А15</w:t>
            </w:r>
          </w:p>
        </w:tc>
        <w:tc>
          <w:tcPr>
            <w:tcW w:w="1872" w:type="dxa"/>
          </w:tcPr>
          <w:p>
            <w:pPr/>
            <w:r>
              <w:t xml:space="preserve">ЮKassa ≈ 89% выручки, то есть ≈ 16,3 млрд ₽ в год</w:t>
            </w:r>
          </w:p>
        </w:tc>
        <w:tc>
          <w:tcPr>
            <w:tcW w:w="1872" w:type="dxa"/>
          </w:tcPr>
          <w:p>
            <w:pPr/>
            <w:r>
              <w:t xml:space="preserve">18,4 × 0,89; доля А1 взята по трём статьям комиссии, не по всей выручке</w:t>
            </w:r>
          </w:p>
        </w:tc>
        <w:tc>
          <w:tcPr>
            <w:tcW w:w="1872" w:type="dxa"/>
          </w:tcPr>
          <w:p>
            <w:pPr/>
            <w:r>
              <w:t xml:space="preserve">низкая</w:t>
            </w:r>
          </w:p>
        </w:tc>
        <w:tc>
          <w:tcPr>
            <w:tcW w:w="1872" w:type="dxa"/>
          </w:tcPr>
          <w:p>
            <w:pPr/>
            <w:r>
              <w:t xml:space="preserve">годовая РСБУ, интервью с финансами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А16</w:t>
            </w:r>
          </w:p>
        </w:tc>
        <w:tc>
          <w:tcPr>
            <w:tcW w:w="1872" w:type="dxa"/>
          </w:tcPr>
          <w:p>
            <w:pPr/>
            <w:r>
              <w:t xml:space="preserve">Новый срок предписания ЦБ Т ≈ 6 месяцев</w:t>
            </w:r>
          </w:p>
        </w:tc>
        <w:tc>
          <w:tcPr>
            <w:tcW w:w="1872" w:type="dxa"/>
          </w:tcPr>
          <w:p>
            <w:pPr/>
            <w:r>
              <w:t xml:space="preserve">допущение: в вводных срок не назван</w:t>
            </w:r>
          </w:p>
        </w:tc>
        <w:tc>
          <w:tcPr>
            <w:tcW w:w="1872" w:type="dxa"/>
          </w:tcPr>
          <w:p>
            <w:pPr/>
            <w:r>
              <w:t xml:space="preserve">низкая</w:t>
            </w:r>
          </w:p>
        </w:tc>
        <w:tc>
          <w:tcPr>
            <w:tcW w:w="1872" w:type="dxa"/>
          </w:tcPr>
          <w:p>
            <w:pPr/>
            <w:r>
              <w:t xml:space="preserve">текст предписания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А17</w:t>
            </w:r>
          </w:p>
        </w:tc>
        <w:tc>
          <w:tcPr>
            <w:tcW w:w="1872" w:type="dxa"/>
          </w:tcPr>
          <w:p>
            <w:pPr/>
            <w:r>
              <w:t xml:space="preserve">ИИ-инструменты сокращают трудозатраты на задачи продуктов на 20–35%; месяцы выручки Г3–Г5 сдвигаются на 1–2</w:t>
            </w:r>
          </w:p>
        </w:tc>
        <w:tc>
          <w:tcPr>
            <w:tcW w:w="1872" w:type="dxa"/>
          </w:tcPr>
          <w:p>
            <w:pPr/>
            <w:r>
              <w:t xml:space="preserve">допущение: внутренних замеров ещё нет</w:t>
            </w:r>
          </w:p>
        </w:tc>
        <w:tc>
          <w:tcPr>
            <w:tcW w:w="1872" w:type="dxa"/>
          </w:tcPr>
          <w:p>
            <w:pPr/>
            <w:r>
              <w:t xml:space="preserve">низкая</w:t>
            </w:r>
          </w:p>
        </w:tc>
        <w:tc>
          <w:tcPr>
            <w:tcW w:w="1872" w:type="dxa"/>
          </w:tcPr>
          <w:p>
            <w:pPr/>
            <w:r>
              <w:t xml:space="preserve">замер на 10 типовых задачах за 6 недель (карточка Г2)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А18</w:t>
            </w:r>
          </w:p>
        </w:tc>
        <w:tc>
          <w:tcPr>
            <w:tcW w:w="1872" w:type="dxa"/>
          </w:tcPr>
          <w:p>
            <w:pPr/>
            <w:r>
              <w:t xml:space="preserve">Трудозатраты, чел.-мес.: Г1 — 3, Г2 — 2, Г3 — 4, Г4 — 6, Г5 — 5; интерфейс для ЦБ ≈ 10 (вне рейтинга)</w:t>
            </w:r>
          </w:p>
        </w:tc>
        <w:tc>
          <w:tcPr>
            <w:tcW w:w="1872" w:type="dxa"/>
          </w:tcPr>
          <w:p>
            <w:pPr/>
            <w:r>
              <w:t xml:space="preserve">допущение по составу работ</w:t>
            </w:r>
          </w:p>
        </w:tc>
        <w:tc>
          <w:tcPr>
            <w:tcW w:w="1872" w:type="dxa"/>
          </w:tcPr>
          <w:p>
            <w:pPr/>
            <w:r>
              <w:t xml:space="preserve">низкая</w:t>
            </w:r>
          </w:p>
        </w:tc>
        <w:tc>
          <w:tcPr>
            <w:tcW w:w="1872" w:type="dxa"/>
          </w:tcPr>
          <w:p>
            <w:pPr/>
            <w:r>
              <w:t xml:space="preserve">оценка команд, план этапов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А19</w:t>
            </w:r>
          </w:p>
        </w:tc>
        <w:tc>
          <w:tcPr>
            <w:tcW w:w="1872" w:type="dxa"/>
          </w:tcPr>
          <w:p>
            <w:pPr/>
            <w:r>
              <w:t xml:space="preserve">Команда восстановления 6 человек, 70% времени на продукты: 4,2 чел.-мес. в месяц; в «Шраме» — 2,1</w:t>
            </w:r>
          </w:p>
        </w:tc>
        <w:tc>
          <w:tcPr>
            <w:tcW w:w="1872" w:type="dxa"/>
          </w:tcPr>
          <w:p>
            <w:pPr/>
            <w:r>
              <w:t xml:space="preserve">антикризисный план (</w:t>
            </w:r>
            <w:r>
              <w:t xml:space="preserve">Антикризисный план ЮMoney: лебеди 48 и 67</w:t>
            </w:r>
            <w:r>
              <w:t xml:space="preserve">): 5–7 человек; доля времени — допущение</w:t>
            </w:r>
          </w:p>
        </w:tc>
        <w:tc>
          <w:tcPr>
            <w:tcW w:w="1872" w:type="dxa"/>
          </w:tcPr>
          <w:p>
            <w:pPr/>
            <w:r>
              <w:t xml:space="preserve">низкая</w:t>
            </w:r>
          </w:p>
        </w:tc>
        <w:tc>
          <w:tcPr>
            <w:tcW w:w="1872" w:type="dxa"/>
          </w:tcPr>
          <w:p>
            <w:pPr/>
            <w:r>
              <w:t xml:space="preserve">реальный состав и загрузка команды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А20</w:t>
            </w:r>
          </w:p>
        </w:tc>
        <w:tc>
          <w:tcPr>
            <w:tcW w:w="1872" w:type="dxa"/>
          </w:tcPr>
          <w:p>
            <w:pPr/>
            <w:r>
              <w:t xml:space="preserve">5 клиентов ЮSoft × 20–40 млн ₽ в год</w:t>
            </w:r>
          </w:p>
        </w:tc>
        <w:tc>
          <w:tcPr>
            <w:tcW w:w="1872" w:type="dxa"/>
          </w:tcPr>
          <w:p>
            <w:pPr/>
            <w:r>
              <w:t xml:space="preserve">допущение: выручка ЮSoft не раскрыта (А9)</w:t>
            </w:r>
          </w:p>
        </w:tc>
        <w:tc>
          <w:tcPr>
            <w:tcW w:w="1872" w:type="dxa"/>
          </w:tcPr>
          <w:p>
            <w:pPr/>
            <w:r>
              <w:t xml:space="preserve">низкая</w:t>
            </w:r>
          </w:p>
        </w:tc>
        <w:tc>
          <w:tcPr>
            <w:tcW w:w="1872" w:type="dxa"/>
          </w:tcPr>
          <w:p>
            <w:pPr/>
            <w:r>
              <w:t xml:space="preserve">договоры ЮSoft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А21</w:t>
            </w:r>
          </w:p>
        </w:tc>
        <w:tc>
          <w:tcPr>
            <w:tcW w:w="1872" w:type="dxa"/>
          </w:tcPr>
          <w:p>
            <w:pPr/>
            <w:r>
              <w:t xml:space="preserve">Физлица ≈ 10% выручки; клуб улучшает их выручку на 5–10%</w:t>
            </w:r>
          </w:p>
        </w:tc>
        <w:tc>
          <w:tcPr>
            <w:tcW w:w="1872" w:type="dxa"/>
          </w:tcPr>
          <w:p>
            <w:pPr/>
            <w:r>
              <w:t xml:space="preserve">6% + 4% из А1; эффект — допущение</w:t>
            </w:r>
          </w:p>
        </w:tc>
        <w:tc>
          <w:tcPr>
            <w:tcW w:w="1872" w:type="dxa"/>
          </w:tcPr>
          <w:p>
            <w:pPr/>
            <w:r>
              <w:t xml:space="preserve">низкая</w:t>
            </w:r>
          </w:p>
        </w:tc>
        <w:tc>
          <w:tcPr>
            <w:tcW w:w="1872" w:type="dxa"/>
          </w:tcPr>
          <w:p>
            <w:pPr/>
            <w:r>
              <w:t xml:space="preserve">РСБУ, пилот клуба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А22</w:t>
            </w:r>
          </w:p>
        </w:tc>
        <w:tc>
          <w:tcPr>
            <w:tcW w:w="1872" w:type="dxa"/>
          </w:tcPr>
          <w:p>
            <w:pPr/>
            <w:r>
              <w:t xml:space="preserve">Без вмешательства уходит 1–3% комиссий ЮKassa</w:t>
            </w:r>
          </w:p>
        </w:tc>
        <w:tc>
          <w:tcPr>
            <w:tcW w:w="1872" w:type="dxa"/>
          </w:tcPr>
          <w:p>
            <w:pPr/>
            <w:r>
              <w:t xml:space="preserve">допущение: в сценарии 48 магазины уходят, масштаб не назван</w:t>
            </w:r>
          </w:p>
        </w:tc>
        <w:tc>
          <w:tcPr>
            <w:tcW w:w="1872" w:type="dxa"/>
          </w:tcPr>
          <w:p>
            <w:pPr/>
            <w:r>
              <w:t xml:space="preserve">низкая</w:t>
            </w:r>
          </w:p>
        </w:tc>
        <w:tc>
          <w:tcPr>
            <w:tcW w:w="1872" w:type="dxa"/>
          </w:tcPr>
          <w:p>
            <w:pPr/>
            <w:r>
              <w:t xml:space="preserve">журнал запросов, данные оборота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А23</w:t>
            </w:r>
          </w:p>
        </w:tc>
        <w:tc>
          <w:tcPr>
            <w:tcW w:w="1872" w:type="dxa"/>
          </w:tcPr>
          <w:p>
            <w:pPr/>
            <w:r>
              <w:t xml:space="preserve">Ориентир роста рынка +9%</w:t>
            </w:r>
          </w:p>
        </w:tc>
        <w:tc>
          <w:tcPr>
            <w:tcW w:w="1872" w:type="dxa"/>
          </w:tcPr>
          <w:p>
            <w:pPr/>
            <w:r>
              <w:t xml:space="preserve">ПР1, источник 4 (II квартал 2026); коридор в материалах не выдан</w:t>
            </w:r>
          </w:p>
        </w:tc>
        <w:tc>
          <w:tcPr>
            <w:tcW w:w="1872" w:type="dxa"/>
          </w:tcPr>
          <w:p>
            <w:pPr/>
            <w:r>
              <w:t xml:space="preserve">средняя</w:t>
            </w:r>
          </w:p>
        </w:tc>
        <w:tc>
          <w:tcPr>
            <w:tcW w:w="1872" w:type="dxa"/>
          </w:tcPr>
          <w:p>
            <w:pPr/>
            <w:r>
              <w:t xml:space="preserve">заменить выданным коридором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А24</w:t>
            </w:r>
          </w:p>
        </w:tc>
        <w:tc>
          <w:tcPr>
            <w:tcW w:w="1872" w:type="dxa"/>
          </w:tcPr>
          <w:p>
            <w:pPr/>
            <w:r>
              <w:t xml:space="preserve">Предложение клиенту другого банка конвертируется в 2–4%; клиент приносит 40–60 тыс. ₽ в год</w:t>
            </w:r>
          </w:p>
        </w:tc>
        <w:tc>
          <w:tcPr>
            <w:tcW w:w="1872" w:type="dxa"/>
          </w:tcPr>
          <w:p>
            <w:pPr/>
            <w:r>
              <w:t xml:space="preserve">допущение</w:t>
            </w:r>
          </w:p>
        </w:tc>
        <w:tc>
          <w:tcPr>
            <w:tcW w:w="1872" w:type="dxa"/>
          </w:tcPr>
          <w:p>
            <w:pPr/>
            <w:r>
              <w:t xml:space="preserve">низкая</w:t>
            </w:r>
          </w:p>
        </w:tc>
        <w:tc>
          <w:tcPr>
            <w:tcW w:w="1872" w:type="dxa"/>
          </w:tcPr>
          <w:p>
            <w:pPr/>
            <w:r>
              <w:t xml:space="preserve">пилот на 50 000 предложений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А25</w:t>
            </w:r>
          </w:p>
        </w:tc>
        <w:tc>
          <w:tcPr>
            <w:tcW w:w="1872" w:type="dxa"/>
          </w:tcPr>
          <w:p>
            <w:pPr/>
            <w:r>
              <w:t xml:space="preserve">Размеры пилотов: Г1 — 30 магазинов, Г3 — 5 клиентов ЮSoft, Г4 — 2 × 20 000 клиентов, Г5 — 50 000 предложений</w:t>
            </w:r>
          </w:p>
        </w:tc>
        <w:tc>
          <w:tcPr>
            <w:tcW w:w="1872" w:type="dxa"/>
          </w:tcPr>
          <w:p>
            <w:pPr/>
            <w:r>
              <w:t xml:space="preserve">выбор команды, не расчёт мощности теста</w:t>
            </w:r>
          </w:p>
        </w:tc>
        <w:tc>
          <w:tcPr>
            <w:tcW w:w="1872" w:type="dxa"/>
          </w:tcPr>
          <w:p>
            <w:pPr/>
            <w:r>
              <w:t xml:space="preserve">низкая</w:t>
            </w:r>
          </w:p>
        </w:tc>
        <w:tc>
          <w:tcPr>
            <w:tcW w:w="1872" w:type="dxa"/>
          </w:tcPr>
          <w:p>
            <w:pPr/>
            <w:r>
              <w:t xml:space="preserve">пересчитать по реальной базе клиентов</w:t>
            </w:r>
          </w:p>
        </w:tc>
      </w:tr>
    </w:tbl>
    <w:p>
      <w:pPr/>
      <w:r>
        <w:rPr>
          <w:b/>
        </w:rPr>
        <w:t xml:space="preserve">Источники.</w:t>
      </w:r>
      <w:r>
        <w:t xml:space="preserve"> Новых внешних страниц для ПР2 не открывалось: числа взяты из двух работ и задания; отраслевые источники — в списке ПР1.</w:t>
      </w:r>
    </w:p>
    <w:p>
      <w:pPr>
        <w:pStyle w:val="ListParagraph"/>
        <w:numPr>
          <w:ilvl w:val="0"/>
          <w:numId w:val="3"/>
        </w:numPr>
      </w:pPr>
      <w:r>
        <w:t xml:space="preserve">ПР1 — Бизнес и его ИТ: ЮMoney</w:t>
      </w:r>
      <w:r>
        <w:t xml:space="preserve"> — выручка, зоны, реестр А1–А14 и источники 1, 4, 6, 7, 23, 27 (Smart Ranking; Коммерсантъ; Интерфакс по РСБУ за 2023 год и I полугодие 2024; CNews про ЮSoft; Хабр про банки маркетплейсов), страницы открывались 21.09.2026.</w:t>
      </w:r>
    </w:p>
    <w:p>
      <w:pPr>
        <w:pStyle w:val="ListParagraph"/>
        <w:numPr>
          <w:ilvl w:val="0"/>
          <w:numId w:val="3"/>
        </w:numPr>
      </w:pPr>
      <w:r>
        <w:t xml:space="preserve">Антикризисный план ЮMoney: лебеди 48 и 67</w:t>
      </w:r>
      <w:r>
        <w:t xml:space="preserve"> — шаги по лебедям 48 и 67, команда восстановления, дорожная карта.</w:t>
      </w:r>
    </w:p>
    <w:p>
      <w:pPr>
        <w:pStyle w:val="ListParagraph"/>
        <w:numPr>
          <w:ilvl w:val="0"/>
          <w:numId w:val="3"/>
        </w:numPr>
      </w:pPr>
      <w:r>
        <w:t xml:space="preserve">Задание ПР2: долги к ПР2, долги к следующим лебедям, эффект «Шрам»; различение риска и неопределённости по F. Knight, 1921.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ПР2 — Гипотезы роста выручки ЮMoney</dc:title>
  <dc:description>Claude Docs node/b472ee71-f324@66 docx-w6</dc:description>
  <cp:revision>66</cp:revision>
</cp:coreProperties>
</file>