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14196" w14:textId="77777777" w:rsidR="006151D6" w:rsidRDefault="009972B7">
      <w:pPr>
        <w:pStyle w:val="Title"/>
        <w:spacing w:before="120" w:line="275" w:lineRule="auto"/>
      </w:pPr>
      <w:bookmarkStart w:id="0" w:name="_92ao99s2ffpj" w:colFirst="0" w:colLast="0"/>
      <w:bookmarkEnd w:id="0"/>
      <w:r>
        <w:t>The Visual Design System (The "</w:t>
      </w:r>
      <w:proofErr w:type="spellStart"/>
      <w:r>
        <w:t>Aeonimus</w:t>
      </w:r>
      <w:proofErr w:type="spellEnd"/>
      <w:r>
        <w:t>" Theme)</w:t>
      </w:r>
    </w:p>
    <w:p w14:paraId="2AC14197" w14:textId="77777777" w:rsidR="006151D6" w:rsidRDefault="00997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To build a frontend that commands the respect of a top-tier enterprise platform—think Palantir meets </w:t>
      </w:r>
      <w:proofErr w:type="spellStart"/>
      <w:r>
        <w:rPr>
          <w:rFonts w:ascii="Google Sans" w:eastAsia="Google Sans" w:hAnsi="Google Sans" w:cs="Google Sans"/>
          <w:color w:val="1F1F1F"/>
        </w:rPr>
        <w:t>Vercel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or Stripe—we </w:t>
      </w:r>
      <w:proofErr w:type="gramStart"/>
      <w:r>
        <w:rPr>
          <w:rFonts w:ascii="Google Sans" w:eastAsia="Google Sans" w:hAnsi="Google Sans" w:cs="Google Sans"/>
          <w:color w:val="1F1F1F"/>
        </w:rPr>
        <w:t>have to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abandon standard "SaaS templates." A true Fortune 500-grade application doesn't just look pretty; it manages extreme data density without overwhelming the user.</w:t>
      </w:r>
    </w:p>
    <w:p w14:paraId="2AC14198" w14:textId="77777777" w:rsidR="006151D6" w:rsidRDefault="00997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For the </w:t>
      </w:r>
      <w:proofErr w:type="spellStart"/>
      <w:r>
        <w:rPr>
          <w:rFonts w:ascii="Google Sans" w:eastAsia="Google Sans" w:hAnsi="Google Sans" w:cs="Google Sans"/>
          <w:color w:val="1F1F1F"/>
        </w:rPr>
        <w:t>Aeonimus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pipeline, the aesthetic needs to reflect the intelligence of the backend. We will use a design language I call </w:t>
      </w:r>
      <w:r>
        <w:rPr>
          <w:rFonts w:ascii="Google Sans" w:eastAsia="Google Sans" w:hAnsi="Google Sans" w:cs="Google Sans"/>
          <w:b/>
          <w:bCs/>
          <w:color w:val="1F1F1F"/>
        </w:rPr>
        <w:t>"Cinematic Enterprise."</w:t>
      </w:r>
      <w:r>
        <w:rPr>
          <w:rFonts w:ascii="Google Sans" w:eastAsia="Google Sans" w:hAnsi="Google Sans" w:cs="Google Sans"/>
          <w:color w:val="1F1F1F"/>
        </w:rPr>
        <w:t xml:space="preserve"> It blends ruthless data efficiency with high-end, dark-mode textures (</w:t>
      </w:r>
      <w:proofErr w:type="spellStart"/>
      <w:r>
        <w:rPr>
          <w:rFonts w:ascii="Google Sans" w:eastAsia="Google Sans" w:hAnsi="Google Sans" w:cs="Google Sans"/>
          <w:color w:val="1F1F1F"/>
        </w:rPr>
        <w:t>glassmorphism</w:t>
      </w:r>
      <w:proofErr w:type="spellEnd"/>
      <w:r>
        <w:rPr>
          <w:rFonts w:ascii="Google Sans" w:eastAsia="Google Sans" w:hAnsi="Google Sans" w:cs="Google Sans"/>
          <w:color w:val="1F1F1F"/>
        </w:rPr>
        <w:t>, deep shadows, and metallic accents).</w:t>
      </w:r>
    </w:p>
    <w:p w14:paraId="2AC14199" w14:textId="77777777" w:rsidR="006151D6" w:rsidRDefault="00997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Here is the comprehensive UI/UX architectural blueprint to build this cutting-edge interface.</w:t>
      </w:r>
    </w:p>
    <w:p w14:paraId="2AC1419A" w14:textId="77777777" w:rsidR="006151D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AC141C5">
          <v:rect id="_x0000_i1025" style="width:0;height:1.5pt" o:hralign="center" o:hrstd="t" o:hr="t" fillcolor="#a0a0a0" stroked="f"/>
        </w:pict>
      </w:r>
      <w:r w:rsidR="009972B7">
        <w:rPr>
          <w:rFonts w:ascii="Google Sans" w:eastAsia="Google Sans" w:hAnsi="Google Sans" w:cs="Google Sans"/>
          <w:color w:val="1F1F1F"/>
        </w:rPr>
        <w:t>1. The Visual Design System (The "</w:t>
      </w:r>
      <w:proofErr w:type="spellStart"/>
      <w:r w:rsidR="009972B7">
        <w:rPr>
          <w:rFonts w:ascii="Google Sans" w:eastAsia="Google Sans" w:hAnsi="Google Sans" w:cs="Google Sans"/>
          <w:color w:val="1F1F1F"/>
        </w:rPr>
        <w:t>Aeonimus</w:t>
      </w:r>
      <w:proofErr w:type="spellEnd"/>
      <w:r w:rsidR="009972B7">
        <w:rPr>
          <w:rFonts w:ascii="Google Sans" w:eastAsia="Google Sans" w:hAnsi="Google Sans" w:cs="Google Sans"/>
          <w:color w:val="1F1F1F"/>
        </w:rPr>
        <w:t>" Theme)</w:t>
      </w:r>
    </w:p>
    <w:p w14:paraId="2AC1419B" w14:textId="77777777" w:rsidR="006151D6" w:rsidRDefault="009972B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Enterprise software relies on strict design tokens. We are building a dark-mode-first environment that feels like a high-end intelligence terminal.</w:t>
      </w:r>
    </w:p>
    <w:p w14:paraId="2AC1419C" w14:textId="77777777" w:rsidR="006151D6" w:rsidRDefault="00997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Color Palette:</w:t>
      </w:r>
    </w:p>
    <w:p w14:paraId="2AC1419D" w14:textId="77777777" w:rsidR="006151D6" w:rsidRDefault="009972B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Base Background: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Obsidian (#</w:t>
      </w:r>
      <w:proofErr w:type="gramEnd"/>
      <w:r>
        <w:rPr>
          <w:rFonts w:ascii="Google Sans" w:eastAsia="Google Sans" w:hAnsi="Google Sans" w:cs="Google Sans"/>
          <w:color w:val="1F1F1F"/>
        </w:rPr>
        <w:t>0A0C10) - Deepest black for the absolute background.</w:t>
      </w:r>
    </w:p>
    <w:p w14:paraId="2AC1419E" w14:textId="77777777" w:rsidR="006151D6" w:rsidRDefault="009972B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Surface Panels:</w:t>
      </w:r>
      <w:r>
        <w:rPr>
          <w:rFonts w:ascii="Google Sans" w:eastAsia="Google Sans" w:hAnsi="Google Sans" w:cs="Google Sans"/>
          <w:color w:val="1F1F1F"/>
        </w:rPr>
        <w:t xml:space="preserve"> </w:t>
      </w:r>
      <w:proofErr w:type="gramStart"/>
      <w:r>
        <w:rPr>
          <w:rFonts w:ascii="Google Sans" w:eastAsia="Google Sans" w:hAnsi="Google Sans" w:cs="Google Sans"/>
          <w:color w:val="1F1F1F"/>
        </w:rPr>
        <w:t>Tungsten (#</w:t>
      </w:r>
      <w:proofErr w:type="gramEnd"/>
      <w:r>
        <w:rPr>
          <w:rFonts w:ascii="Google Sans" w:eastAsia="Google Sans" w:hAnsi="Google Sans" w:cs="Google Sans"/>
          <w:color w:val="1F1F1F"/>
        </w:rPr>
        <w:t>171921) - Slightly elevated panels to separate content.</w:t>
      </w:r>
    </w:p>
    <w:p w14:paraId="2AC1419F" w14:textId="77777777" w:rsidR="006151D6" w:rsidRDefault="009972B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Primary Accent:</w:t>
      </w:r>
      <w:r>
        <w:rPr>
          <w:rFonts w:ascii="Google Sans" w:eastAsia="Google Sans" w:hAnsi="Google Sans" w:cs="Google Sans"/>
          <w:color w:val="1F1F1F"/>
        </w:rPr>
        <w:t xml:space="preserve"> Liquid </w:t>
      </w:r>
      <w:proofErr w:type="gramStart"/>
      <w:r>
        <w:rPr>
          <w:rFonts w:ascii="Google Sans" w:eastAsia="Google Sans" w:hAnsi="Google Sans" w:cs="Google Sans"/>
          <w:color w:val="1F1F1F"/>
        </w:rPr>
        <w:t>Brass (#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D4AF37) - Used </w:t>
      </w:r>
      <w:r>
        <w:rPr>
          <w:rFonts w:ascii="Google Sans" w:eastAsia="Google Sans" w:hAnsi="Google Sans" w:cs="Google Sans"/>
          <w:i/>
          <w:iCs/>
          <w:color w:val="1F1F1F"/>
        </w:rPr>
        <w:t>only</w:t>
      </w:r>
      <w:r>
        <w:rPr>
          <w:rFonts w:ascii="Google Sans" w:eastAsia="Google Sans" w:hAnsi="Google Sans" w:cs="Google Sans"/>
          <w:color w:val="1F1F1F"/>
        </w:rPr>
        <w:t xml:space="preserve"> for primary calls to action (like "Publish to YouTube") to draw the eye immediately.</w:t>
      </w:r>
    </w:p>
    <w:p w14:paraId="2AC141A0" w14:textId="77777777" w:rsidR="006151D6" w:rsidRDefault="009972B7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Utility Accents:</w:t>
      </w:r>
      <w:r>
        <w:rPr>
          <w:rFonts w:ascii="Google Sans" w:eastAsia="Google Sans" w:hAnsi="Google Sans" w:cs="Google Sans"/>
          <w:color w:val="1F1F1F"/>
        </w:rPr>
        <w:t xml:space="preserve"> Neon </w:t>
      </w:r>
      <w:proofErr w:type="gramStart"/>
      <w:r>
        <w:rPr>
          <w:rFonts w:ascii="Google Sans" w:eastAsia="Google Sans" w:hAnsi="Google Sans" w:cs="Google Sans"/>
          <w:color w:val="1F1F1F"/>
        </w:rPr>
        <w:t>Cyan (#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00F2FE) for active syncs, and </w:t>
      </w:r>
      <w:proofErr w:type="gramStart"/>
      <w:r>
        <w:rPr>
          <w:rFonts w:ascii="Google Sans" w:eastAsia="Google Sans" w:hAnsi="Google Sans" w:cs="Google Sans"/>
          <w:color w:val="1F1F1F"/>
        </w:rPr>
        <w:t>Crimson (#</w:t>
      </w:r>
      <w:proofErr w:type="gramEnd"/>
      <w:r>
        <w:rPr>
          <w:rFonts w:ascii="Google Sans" w:eastAsia="Google Sans" w:hAnsi="Google Sans" w:cs="Google Sans"/>
          <w:color w:val="1F1F1F"/>
        </w:rPr>
        <w:t>FF4C4C) for VM errors or 403 blocks.</w:t>
      </w:r>
    </w:p>
    <w:p w14:paraId="2AC141A1" w14:textId="77777777" w:rsidR="006151D6" w:rsidRDefault="00997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Typography:</w:t>
      </w:r>
    </w:p>
    <w:p w14:paraId="2AC141A2" w14:textId="77777777" w:rsidR="006151D6" w:rsidRDefault="009972B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UI/Data (Sans-Serif):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Geist</w:t>
      </w:r>
      <w:r>
        <w:rPr>
          <w:rFonts w:ascii="Google Sans" w:eastAsia="Google Sans" w:hAnsi="Google Sans" w:cs="Google Sans"/>
          <w:color w:val="1F1F1F"/>
        </w:rPr>
        <w:t xml:space="preserve"> or </w:t>
      </w:r>
      <w:r>
        <w:rPr>
          <w:rFonts w:ascii="Google Sans" w:eastAsia="Google Sans" w:hAnsi="Google Sans" w:cs="Google Sans"/>
          <w:i/>
          <w:iCs/>
          <w:color w:val="1F1F1F"/>
        </w:rPr>
        <w:t>Inter</w:t>
      </w:r>
      <w:r>
        <w:rPr>
          <w:rFonts w:ascii="Google Sans" w:eastAsia="Google Sans" w:hAnsi="Google Sans" w:cs="Google Sans"/>
          <w:color w:val="1F1F1F"/>
        </w:rPr>
        <w:t>. These fonts are geometrically perfect for dense data tables and tiny numbers.</w:t>
      </w:r>
    </w:p>
    <w:p w14:paraId="2AC141A3" w14:textId="77777777" w:rsidR="006151D6" w:rsidRDefault="009972B7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Headers/Project Titles (Serif):</w:t>
      </w:r>
      <w:r>
        <w:rPr>
          <w:rFonts w:ascii="Google Sans" w:eastAsia="Google Sans" w:hAnsi="Google Sans" w:cs="Google Sans"/>
          <w:color w:val="1F1F1F"/>
        </w:rPr>
        <w:t xml:space="preserve"> </w:t>
      </w:r>
      <w:r>
        <w:rPr>
          <w:rFonts w:ascii="Google Sans" w:eastAsia="Google Sans" w:hAnsi="Google Sans" w:cs="Google Sans"/>
          <w:i/>
          <w:iCs/>
          <w:color w:val="1F1F1F"/>
        </w:rPr>
        <w:t>Playfair Display</w:t>
      </w:r>
      <w:r>
        <w:rPr>
          <w:rFonts w:ascii="Google Sans" w:eastAsia="Google Sans" w:hAnsi="Google Sans" w:cs="Google Sans"/>
          <w:color w:val="1F1F1F"/>
        </w:rPr>
        <w:t>. Using a high-contrast serif for your project names gives the platform that cinematic, slightly Southern-Gothic edge.</w:t>
      </w:r>
    </w:p>
    <w:p w14:paraId="2AC141A4" w14:textId="77777777" w:rsidR="006151D6" w:rsidRDefault="009972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Textures &amp; Elevations:</w:t>
      </w:r>
    </w:p>
    <w:p w14:paraId="2AC141A5" w14:textId="77777777" w:rsidR="006151D6" w:rsidRDefault="009972B7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proofErr w:type="spellStart"/>
      <w:r>
        <w:rPr>
          <w:rFonts w:ascii="Google Sans" w:eastAsia="Google Sans" w:hAnsi="Google Sans" w:cs="Google Sans"/>
          <w:b/>
          <w:bCs/>
          <w:color w:val="1F1F1F"/>
        </w:rPr>
        <w:t>Glassmorphism</w:t>
      </w:r>
      <w:proofErr w:type="spellEnd"/>
      <w:r>
        <w:rPr>
          <w:rFonts w:ascii="Google Sans" w:eastAsia="Google Sans" w:hAnsi="Google Sans" w:cs="Google Sans"/>
          <w:b/>
          <w:bCs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t xml:space="preserve"> Overlays, dropdowns, and the audio player use backdrop-blur-xl with a 5% white opacity (</w:t>
      </w:r>
      <w:proofErr w:type="spellStart"/>
      <w:r>
        <w:rPr>
          <w:rFonts w:ascii="Google Sans" w:eastAsia="Google Sans" w:hAnsi="Google Sans" w:cs="Google Sans"/>
          <w:color w:val="1F1F1F"/>
        </w:rPr>
        <w:t>bg</w:t>
      </w:r>
      <w:proofErr w:type="spellEnd"/>
      <w:r>
        <w:rPr>
          <w:rFonts w:ascii="Google Sans" w:eastAsia="Google Sans" w:hAnsi="Google Sans" w:cs="Google Sans"/>
          <w:color w:val="1F1F1F"/>
        </w:rPr>
        <w:t>-white/5) and a microscopic 1px border (border-white/10).</w:t>
      </w:r>
    </w:p>
    <w:p w14:paraId="2AC141A6" w14:textId="77777777" w:rsidR="006151D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AC141C6">
          <v:rect id="_x0000_i1026" style="width:0;height:1.5pt" o:hralign="center" o:hrstd="t" o:hr="t" fillcolor="#a0a0a0" stroked="f"/>
        </w:pict>
      </w:r>
      <w:r w:rsidR="009972B7">
        <w:rPr>
          <w:rFonts w:ascii="Google Sans" w:eastAsia="Google Sans" w:hAnsi="Google Sans" w:cs="Google Sans"/>
          <w:color w:val="1F1F1F"/>
        </w:rPr>
        <w:lastRenderedPageBreak/>
        <w:t>2. Web App Architecture (The Command Center)</w:t>
      </w:r>
    </w:p>
    <w:p w14:paraId="2AC141A7" w14:textId="77777777" w:rsidR="006151D6" w:rsidRDefault="009972B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The desktop web app is where </w:t>
      </w:r>
      <w:proofErr w:type="gramStart"/>
      <w:r>
        <w:rPr>
          <w:rFonts w:ascii="Google Sans" w:eastAsia="Google Sans" w:hAnsi="Google Sans" w:cs="Google Sans"/>
          <w:color w:val="1F1F1F"/>
        </w:rPr>
        <w:t>the heavy</w:t>
      </w:r>
      <w:proofErr w:type="gramEnd"/>
      <w:r>
        <w:rPr>
          <w:rFonts w:ascii="Google Sans" w:eastAsia="Google Sans" w:hAnsi="Google Sans" w:cs="Google Sans"/>
          <w:color w:val="1F1F1F"/>
        </w:rPr>
        <w:t xml:space="preserve"> lifting happens. We will use a </w:t>
      </w:r>
      <w:r>
        <w:rPr>
          <w:rFonts w:ascii="Google Sans" w:eastAsia="Google Sans" w:hAnsi="Google Sans" w:cs="Google Sans"/>
          <w:b/>
          <w:bCs/>
          <w:color w:val="1F1F1F"/>
        </w:rPr>
        <w:t>Bento Box Layout</w:t>
      </w:r>
      <w:r>
        <w:rPr>
          <w:rFonts w:ascii="Google Sans" w:eastAsia="Google Sans" w:hAnsi="Google Sans" w:cs="Google Sans"/>
          <w:color w:val="1F1F1F"/>
        </w:rPr>
        <w:t xml:space="preserve"> for the dashboard—this is the current cutting-edge standard for data-heavy SaaS, dividing information into modular, distinctly sized tiles.</w:t>
      </w:r>
    </w:p>
    <w:p w14:paraId="2AC141A8" w14:textId="77777777" w:rsidR="006151D6" w:rsidRDefault="009972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Global Layout:</w:t>
      </w:r>
    </w:p>
    <w:p w14:paraId="2AC141A9" w14:textId="77777777" w:rsidR="006151D6" w:rsidRDefault="009972B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Left Collapsible Sidebar:</w:t>
      </w:r>
      <w:r>
        <w:rPr>
          <w:rFonts w:ascii="Google Sans" w:eastAsia="Google Sans" w:hAnsi="Google Sans" w:cs="Google Sans"/>
          <w:color w:val="1F1F1F"/>
        </w:rPr>
        <w:t xml:space="preserve"> Icons only when collapsed. Contains navigation: Dashboard, The Vault (GCS Media), Publishing Kanban, SIGINT Analysis, Settings.</w:t>
      </w:r>
    </w:p>
    <w:p w14:paraId="2AC141AA" w14:textId="77777777" w:rsidR="006151D6" w:rsidRDefault="009972B7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Top Command Bar:</w:t>
      </w:r>
      <w:r>
        <w:rPr>
          <w:rFonts w:ascii="Google Sans" w:eastAsia="Google Sans" w:hAnsi="Google Sans" w:cs="Google Sans"/>
          <w:color w:val="1F1F1F"/>
        </w:rPr>
        <w:t xml:space="preserve"> No bulky headers. A sleek top bar featuring a </w:t>
      </w:r>
      <w:proofErr w:type="spellStart"/>
      <w:r>
        <w:rPr>
          <w:rFonts w:ascii="Google Sans" w:eastAsia="Google Sans" w:hAnsi="Google Sans" w:cs="Google Sans"/>
          <w:color w:val="1F1F1F"/>
        </w:rPr>
        <w:t>Cmd+K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(Mac) / </w:t>
      </w:r>
      <w:proofErr w:type="spellStart"/>
      <w:r>
        <w:rPr>
          <w:rFonts w:ascii="Google Sans" w:eastAsia="Google Sans" w:hAnsi="Google Sans" w:cs="Google Sans"/>
          <w:color w:val="1F1F1F"/>
        </w:rPr>
        <w:t>Ctrl+K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(Windows) universal search bar to instantly jump to any Suno track or YouTube transcript. Include live ping indicators (green/red dots) showing the real-time status of suno-ingest-1 and </w:t>
      </w:r>
      <w:proofErr w:type="gramStart"/>
      <w:r>
        <w:rPr>
          <w:rFonts w:ascii="Google Sans" w:eastAsia="Google Sans" w:hAnsi="Google Sans" w:cs="Google Sans"/>
          <w:color w:val="1F1F1F"/>
        </w:rPr>
        <w:t>yt</w:t>
      </w:r>
      <w:proofErr w:type="gramEnd"/>
      <w:r>
        <w:rPr>
          <w:rFonts w:ascii="Google Sans" w:eastAsia="Google Sans" w:hAnsi="Google Sans" w:cs="Google Sans"/>
          <w:color w:val="1F1F1F"/>
        </w:rPr>
        <w:t>-ingest-1 VMs.</w:t>
      </w:r>
    </w:p>
    <w:p w14:paraId="2AC141AB" w14:textId="77777777" w:rsidR="006151D6" w:rsidRDefault="009972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Dashboard (Bento Box):</w:t>
      </w:r>
    </w:p>
    <w:p w14:paraId="2AC141AC" w14:textId="77777777" w:rsidR="006151D6" w:rsidRDefault="009972B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Tile 1 (Large - The Telemetry Map):</w:t>
      </w:r>
      <w:r>
        <w:rPr>
          <w:rFonts w:ascii="Google Sans" w:eastAsia="Google Sans" w:hAnsi="Google Sans" w:cs="Google Sans"/>
          <w:color w:val="1F1F1F"/>
        </w:rPr>
        <w:t xml:space="preserve"> A live line-chart showing the daily ingest volume vs. YouTube upload volume.</w:t>
      </w:r>
    </w:p>
    <w:p w14:paraId="2AC141AD" w14:textId="77777777" w:rsidR="006151D6" w:rsidRDefault="009972B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Tile 2 (Medium - VM Quotas):</w:t>
      </w:r>
      <w:r>
        <w:rPr>
          <w:rFonts w:ascii="Google Sans" w:eastAsia="Google Sans" w:hAnsi="Google Sans" w:cs="Google Sans"/>
          <w:color w:val="1F1F1F"/>
        </w:rPr>
        <w:t xml:space="preserve"> Circular progress rings showing your YouTube Data API quota usage for the day.</w:t>
      </w:r>
    </w:p>
    <w:p w14:paraId="2AC141AE" w14:textId="77777777" w:rsidR="006151D6" w:rsidRDefault="009972B7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Tile 3 (Wide - Delta Engine Logs):</w:t>
      </w:r>
      <w:r>
        <w:rPr>
          <w:rFonts w:ascii="Google Sans" w:eastAsia="Google Sans" w:hAnsi="Google Sans" w:cs="Google Sans"/>
          <w:color w:val="1F1F1F"/>
        </w:rPr>
        <w:t xml:space="preserve"> A scrolling, terminal-like feed of the backend Python workers (e.g., "14:02 - Harvested 3 mp4s from Suno").</w:t>
      </w:r>
    </w:p>
    <w:p w14:paraId="2AC141AF" w14:textId="77777777" w:rsidR="006151D6" w:rsidRDefault="009972B7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Vault (Data Grid):</w:t>
      </w:r>
    </w:p>
    <w:p w14:paraId="2AC141B0" w14:textId="77777777" w:rsidR="006151D6" w:rsidRDefault="009972B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Using </w:t>
      </w:r>
      <w:proofErr w:type="spellStart"/>
      <w:r>
        <w:rPr>
          <w:rFonts w:ascii="Google Sans" w:eastAsia="Google Sans" w:hAnsi="Google Sans" w:cs="Google Sans"/>
          <w:color w:val="1F1F1F"/>
        </w:rPr>
        <w:t>TanStack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Table, this is a dense, spreadsheet-like view of all media.</w:t>
      </w:r>
    </w:p>
    <w:p w14:paraId="2AC141B1" w14:textId="77777777" w:rsidR="006151D6" w:rsidRDefault="009972B7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Micro-interaction:</w:t>
      </w:r>
      <w:r>
        <w:rPr>
          <w:rFonts w:ascii="Google Sans" w:eastAsia="Google Sans" w:hAnsi="Google Sans" w:cs="Google Sans"/>
          <w:color w:val="1F1F1F"/>
        </w:rPr>
        <w:t xml:space="preserve"> Hovering over a row smoothly expands </w:t>
      </w:r>
      <w:proofErr w:type="spellStart"/>
      <w:r>
        <w:rPr>
          <w:rFonts w:ascii="Google Sans" w:eastAsia="Google Sans" w:hAnsi="Google Sans" w:cs="Google Sans"/>
          <w:color w:val="1F1F1F"/>
        </w:rPr>
        <w:t>it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downward to reveal the Wavesurfer.js audio player and the generated SIGINT variables for that specific track.</w:t>
      </w:r>
    </w:p>
    <w:p w14:paraId="2AC141B2" w14:textId="77777777" w:rsidR="006151D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AC141C7">
          <v:rect id="_x0000_i1027" style="width:0;height:1.5pt" o:hralign="center" o:hrstd="t" o:hr="t" fillcolor="#a0a0a0" stroked="f"/>
        </w:pict>
      </w:r>
      <w:r w:rsidR="009972B7">
        <w:rPr>
          <w:rFonts w:ascii="Google Sans" w:eastAsia="Google Sans" w:hAnsi="Google Sans" w:cs="Google Sans"/>
          <w:color w:val="1F1F1F"/>
        </w:rPr>
        <w:t>3. Mobile App Architecture (The Field Monitor)</w:t>
      </w:r>
    </w:p>
    <w:p w14:paraId="2AC141B3" w14:textId="77777777" w:rsidR="006151D6" w:rsidRDefault="009972B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mobile app must feel like a native extension of the user's hardware. Designing for flagship Android devices means taking full advantage of the massive screen real estate and the 120Hz display capabilities of a phone like the Samsung S25 Ultra.</w:t>
      </w:r>
    </w:p>
    <w:p w14:paraId="2AC141B4" w14:textId="77777777" w:rsidR="006151D6" w:rsidRDefault="009972B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Ergonomics (Bottom-Heavy Design):</w:t>
      </w:r>
    </w:p>
    <w:p w14:paraId="2AC141B5" w14:textId="77777777" w:rsidR="006151D6" w:rsidRDefault="009972B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On a massive 6.8-inch screen, reaching the top is a pain. All navigation, filters, and action buttons must live in the bottom 30% of the screen.</w:t>
      </w:r>
    </w:p>
    <w:p w14:paraId="2AC141B6" w14:textId="77777777" w:rsidR="006151D6" w:rsidRDefault="009972B7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Use a floating, blurred "Dynamic Island" style pill at the bottom for navigation rather than a chunky, traditional tab bar.</w:t>
      </w:r>
    </w:p>
    <w:p w14:paraId="2AC141B7" w14:textId="77777777" w:rsidR="006151D6" w:rsidRDefault="009972B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"Swipe-to-Approve" Triage Flow:</w:t>
      </w:r>
    </w:p>
    <w:p w14:paraId="2AC141B8" w14:textId="77777777" w:rsidR="006151D6" w:rsidRDefault="009972B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When the Delta Engine pulls in new Suno tracks, they appear in a full-screen, </w:t>
      </w:r>
      <w:proofErr w:type="spellStart"/>
      <w:r>
        <w:rPr>
          <w:rFonts w:ascii="Google Sans" w:eastAsia="Google Sans" w:hAnsi="Google Sans" w:cs="Google Sans"/>
          <w:color w:val="1F1F1F"/>
        </w:rPr>
        <w:t>swipeable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card stack (like Tinder).</w:t>
      </w:r>
    </w:p>
    <w:p w14:paraId="2AC141B9" w14:textId="77777777" w:rsidR="006151D6" w:rsidRDefault="009972B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Card Face:</w:t>
      </w:r>
      <w:r>
        <w:rPr>
          <w:rFonts w:ascii="Google Sans" w:eastAsia="Google Sans" w:hAnsi="Google Sans" w:cs="Google Sans"/>
          <w:color w:val="1F1F1F"/>
        </w:rPr>
        <w:t xml:space="preserve"> Shows the generated thumbnail, track title, and a play button that streams the GCS signed URL natively.</w:t>
      </w:r>
    </w:p>
    <w:p w14:paraId="2AC141BA" w14:textId="77777777" w:rsidR="006151D6" w:rsidRDefault="009972B7">
      <w:pPr>
        <w:numPr>
          <w:ilvl w:val="1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The Action (120Hz smooth):</w:t>
      </w:r>
      <w:r>
        <w:rPr>
          <w:rFonts w:ascii="Google Sans" w:eastAsia="Google Sans" w:hAnsi="Google Sans" w:cs="Google Sans"/>
          <w:color w:val="1F1F1F"/>
        </w:rPr>
        <w:t xml:space="preserve"> Swipe Right (turns Liquid Brass) to send it to the YouTube Publish Queue. Swipe Left (turns muted gray) to Archive.</w:t>
      </w:r>
    </w:p>
    <w:p w14:paraId="2AC141BB" w14:textId="77777777" w:rsidR="006151D6" w:rsidRDefault="009972B7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Haptic Integration:</w:t>
      </w:r>
    </w:p>
    <w:p w14:paraId="2AC141BC" w14:textId="77777777" w:rsidR="006151D6" w:rsidRDefault="009972B7">
      <w:pPr>
        <w:numPr>
          <w:ilvl w:val="1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Tie physical sensations to the workflow. A light tick when scrubbing the audio waveform. A heavy, satisfying double-pulse when a track successfully uploads to YouTube.</w:t>
      </w:r>
    </w:p>
    <w:p w14:paraId="2AC141BD" w14:textId="77777777" w:rsidR="006151D6" w:rsidRDefault="00000000">
      <w:pPr>
        <w:pStyle w:val="Heading2"/>
        <w:spacing w:before="120" w:after="120" w:line="275" w:lineRule="auto"/>
        <w:rPr>
          <w:rFonts w:ascii="Google Sans" w:eastAsia="Google Sans" w:hAnsi="Google Sans" w:cs="Google Sans"/>
          <w:color w:val="1F1F1F"/>
        </w:rPr>
      </w:pPr>
      <w:r>
        <w:pict w14:anchorId="2AC141C8">
          <v:rect id="_x0000_i1028" style="width:0;height:1.5pt" o:hralign="center" o:hrstd="t" o:hr="t" fillcolor="#a0a0a0" stroked="f"/>
        </w:pict>
      </w:r>
      <w:r w:rsidR="009972B7">
        <w:rPr>
          <w:rFonts w:ascii="Google Sans" w:eastAsia="Google Sans" w:hAnsi="Google Sans" w:cs="Google Sans"/>
          <w:color w:val="1F1F1F"/>
        </w:rPr>
        <w:t>4. Developer Handoff (The Tailwind Payload)</w:t>
      </w:r>
    </w:p>
    <w:p w14:paraId="2AC141BE" w14:textId="77777777" w:rsidR="006151D6" w:rsidRDefault="00997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To ensure Claude or your frontend engineer builds this exactly to spec, here is the customized tailwind.config.js theme payload that establishes the Fortune 500 aesthetic:</w:t>
      </w:r>
    </w:p>
    <w:p w14:paraId="2AC141BF" w14:textId="77777777" w:rsidR="006151D6" w:rsidRDefault="006151D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ind w:left="240" w:right="120"/>
        <w:rPr>
          <w:rFonts w:ascii="Google Sans" w:eastAsia="Google Sans" w:hAnsi="Google Sans" w:cs="Google Sans"/>
          <w:color w:val="1F1F1F"/>
        </w:rPr>
      </w:pPr>
    </w:p>
    <w:p w14:paraId="2AC141C0" w14:textId="77777777" w:rsidR="006151D6" w:rsidRDefault="009972B7">
      <w:pPr>
        <w:pBdr>
          <w:top w:val="nil"/>
          <w:left w:val="nil"/>
          <w:bottom w:val="nil"/>
          <w:right w:val="nil"/>
          <w:between w:val="nil"/>
        </w:pBdr>
        <w:spacing w:before="120" w:after="150" w:line="275" w:lineRule="auto"/>
        <w:ind w:left="240" w:right="120"/>
        <w:rPr>
          <w:rFonts w:ascii="Google Sans" w:eastAsia="Google Sans" w:hAnsi="Google Sans" w:cs="Google Sans"/>
          <w:color w:val="444746"/>
          <w:shd w:val="clear" w:color="auto" w:fill="F0F4F9"/>
        </w:rPr>
      </w:pPr>
      <w:r>
        <w:rPr>
          <w:rFonts w:ascii="Google Sans" w:eastAsia="Google Sans" w:hAnsi="Google Sans" w:cs="Google Sans"/>
          <w:color w:val="444746"/>
          <w:shd w:val="clear" w:color="auto" w:fill="F0F4F9"/>
        </w:rPr>
        <w:t>JavaScript</w:t>
      </w:r>
    </w:p>
    <w:p w14:paraId="2AC141C1" w14:textId="77777777" w:rsidR="006151D6" w:rsidRDefault="006151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2AC141C2" w14:textId="77777777" w:rsidR="006151D6" w:rsidRDefault="006151D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444746"/>
          <w:shd w:val="clear" w:color="auto" w:fill="F0F4F9"/>
        </w:rPr>
      </w:pPr>
    </w:p>
    <w:p w14:paraId="2AC141C3" w14:textId="77777777" w:rsidR="006151D6" w:rsidRDefault="009972B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ascii="Google Sans" w:eastAsia="Google Sans" w:hAnsi="Google Sans" w:cs="Google Sans"/>
          <w:color w:val="1F1F1F"/>
          <w:shd w:val="clear" w:color="auto" w:fill="F0F4F9"/>
        </w:rPr>
      </w:pP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tailwind.config.js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  <w:proofErr w:type="spellStart"/>
      <w:r>
        <w:rPr>
          <w:rFonts w:ascii="Google Sans" w:eastAsia="Google Sans" w:hAnsi="Google Sans" w:cs="Google Sans"/>
          <w:color w:val="1967D2"/>
          <w:sz w:val="20"/>
          <w:szCs w:val="20"/>
          <w:shd w:val="clear" w:color="auto" w:fill="F0F4F9"/>
        </w:rPr>
        <w:t>module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.exports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 =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darkMode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'class'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theme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: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extend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: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colors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: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obsidian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'#0A0C10'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tungsten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'#171921'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carbon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'#21242D'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liquidBrass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'#D4AF37'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brassHover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'#E5C558'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neonCyan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'#00F2FE'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alertCrimson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'#FF4C4C'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},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fontFamily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: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sans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: [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'Inter'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'sans-serif'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],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Or 'Geist'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serif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: [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'Playfair Display'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'serif'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],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mono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: [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'JetBrains Mono'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,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'monospace'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], </w:t>
      </w:r>
      <w:r>
        <w:rPr>
          <w:rFonts w:ascii="Google Sans" w:eastAsia="Google Sans" w:hAnsi="Google Sans" w:cs="Google Sans"/>
          <w:color w:val="5F6368"/>
          <w:sz w:val="20"/>
          <w:szCs w:val="20"/>
          <w:shd w:val="clear" w:color="auto" w:fill="F0F4F9"/>
        </w:rPr>
        <w:t>// For Terminal logs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},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backgroundImage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: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'glass-gradient'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'linear-gradient(180deg, </w:t>
      </w:r>
      <w:proofErr w:type="spellStart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rgba</w:t>
      </w:r>
      <w:proofErr w:type="spellEnd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(255, 255, 255, 0.05) 0%, </w:t>
      </w:r>
      <w:proofErr w:type="spellStart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rgba</w:t>
      </w:r>
      <w:proofErr w:type="spellEnd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(255, 255, 255, 0.01) 100%)'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},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</w:t>
      </w:r>
      <w:proofErr w:type="spellStart"/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boxShadow</w:t>
      </w:r>
      <w:proofErr w:type="spellEnd"/>
      <w:r>
        <w:rPr>
          <w:rFonts w:ascii="Google Sans" w:eastAsia="Google Sans" w:hAnsi="Google Sans" w:cs="Google Sans"/>
          <w:color w:val="1F1F1F"/>
          <w:shd w:val="clear" w:color="auto" w:fill="F0F4F9"/>
        </w:rPr>
        <w:t>: {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'glass-glow'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'0 4px 30px </w:t>
      </w:r>
      <w:proofErr w:type="spellStart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rgba</w:t>
      </w:r>
      <w:proofErr w:type="spellEnd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(0, 0, 0, 0.5)'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 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'brass-glow'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 xml:space="preserve">: </w:t>
      </w:r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 xml:space="preserve">'0 0 20px </w:t>
      </w:r>
      <w:proofErr w:type="spellStart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rgba</w:t>
      </w:r>
      <w:proofErr w:type="spellEnd"/>
      <w:r>
        <w:rPr>
          <w:rFonts w:ascii="Google Sans" w:eastAsia="Google Sans" w:hAnsi="Google Sans" w:cs="Google Sans"/>
          <w:color w:val="188038"/>
          <w:sz w:val="20"/>
          <w:szCs w:val="20"/>
          <w:shd w:val="clear" w:color="auto" w:fill="F0F4F9"/>
        </w:rPr>
        <w:t>(212, 175, 55, 0.15)'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  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  },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},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 xml:space="preserve">  </w:t>
      </w:r>
      <w:r>
        <w:rPr>
          <w:rFonts w:ascii="Google Sans" w:eastAsia="Google Sans" w:hAnsi="Google Sans" w:cs="Google Sans"/>
          <w:color w:val="B55908"/>
          <w:sz w:val="20"/>
          <w:szCs w:val="20"/>
          <w:shd w:val="clear" w:color="auto" w:fill="F0F4F9"/>
        </w:rPr>
        <w:t>plugins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t>: [],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  <w:t>}</w:t>
      </w:r>
      <w:r>
        <w:rPr>
          <w:rFonts w:ascii="Google Sans" w:eastAsia="Google Sans" w:hAnsi="Google Sans" w:cs="Google Sans"/>
          <w:color w:val="1F1F1F"/>
          <w:shd w:val="clear" w:color="auto" w:fill="F0F4F9"/>
        </w:rPr>
        <w:br/>
      </w:r>
    </w:p>
    <w:p w14:paraId="2AC141C4" w14:textId="77777777" w:rsidR="006151D6" w:rsidRDefault="009972B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 xml:space="preserve">Would you like me to write the React/Next.js code for the </w:t>
      </w:r>
      <w:r>
        <w:rPr>
          <w:rFonts w:ascii="Google Sans" w:eastAsia="Google Sans" w:hAnsi="Google Sans" w:cs="Google Sans"/>
          <w:b/>
          <w:bCs/>
          <w:color w:val="1F1F1F"/>
        </w:rPr>
        <w:t>Bento Box Dashboard component</w:t>
      </w:r>
      <w:r>
        <w:rPr>
          <w:rFonts w:ascii="Google Sans" w:eastAsia="Google Sans" w:hAnsi="Google Sans" w:cs="Google Sans"/>
          <w:color w:val="1F1F1F"/>
        </w:rPr>
        <w:t>, utilizing Framer Motion so the tiles cleanly animate into place when the page loads?</w:t>
      </w:r>
    </w:p>
    <w:sectPr w:rsidR="006151D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6DDB2693-C931-4147-8A4D-21285C3ADC06}"/>
  </w:font>
  <w:font w:name="Google Sans">
    <w:altName w:val="Calibri"/>
    <w:charset w:val="00"/>
    <w:family w:val="auto"/>
    <w:pitch w:val="default"/>
    <w:embedRegular r:id="rId2" w:fontKey="{1F079A8C-2557-41A3-A5AC-92E48EC1E441}"/>
    <w:embedBold r:id="rId3" w:fontKey="{CA0A9A0A-AAF8-4528-8472-C002D919AC4C}"/>
    <w:embedItalic r:id="rId4" w:fontKey="{5E8A9051-E761-4FDD-BC4E-CDEBADD5958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5335625-EA38-4AAD-9C6A-9284C577FC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4CE186-6D29-4C37-8F90-5404C96543B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626B"/>
    <w:multiLevelType w:val="multilevel"/>
    <w:tmpl w:val="D4CAC85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6E70C8F"/>
    <w:multiLevelType w:val="multilevel"/>
    <w:tmpl w:val="D1FAE14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222B76E6"/>
    <w:multiLevelType w:val="multilevel"/>
    <w:tmpl w:val="71263EF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27936CAE"/>
    <w:multiLevelType w:val="multilevel"/>
    <w:tmpl w:val="44F2829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34985B1F"/>
    <w:multiLevelType w:val="multilevel"/>
    <w:tmpl w:val="FD78A9D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356F136E"/>
    <w:multiLevelType w:val="multilevel"/>
    <w:tmpl w:val="0A581F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126196E"/>
    <w:multiLevelType w:val="multilevel"/>
    <w:tmpl w:val="8CA2A82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428244A0"/>
    <w:multiLevelType w:val="multilevel"/>
    <w:tmpl w:val="D0A6F4E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53802D5A"/>
    <w:multiLevelType w:val="multilevel"/>
    <w:tmpl w:val="41B8AF4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55624990"/>
    <w:multiLevelType w:val="multilevel"/>
    <w:tmpl w:val="A6EC1CB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5DCD3D94"/>
    <w:multiLevelType w:val="multilevel"/>
    <w:tmpl w:val="097634A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74D25DF2"/>
    <w:multiLevelType w:val="multilevel"/>
    <w:tmpl w:val="961C34B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362047607">
    <w:abstractNumId w:val="5"/>
  </w:num>
  <w:num w:numId="2" w16cid:durableId="2135901538">
    <w:abstractNumId w:val="2"/>
  </w:num>
  <w:num w:numId="3" w16cid:durableId="1381826662">
    <w:abstractNumId w:val="9"/>
  </w:num>
  <w:num w:numId="4" w16cid:durableId="1164856486">
    <w:abstractNumId w:val="1"/>
  </w:num>
  <w:num w:numId="5" w16cid:durableId="270087176">
    <w:abstractNumId w:val="6"/>
  </w:num>
  <w:num w:numId="6" w16cid:durableId="1458404551">
    <w:abstractNumId w:val="10"/>
  </w:num>
  <w:num w:numId="7" w16cid:durableId="1837914503">
    <w:abstractNumId w:val="3"/>
  </w:num>
  <w:num w:numId="8" w16cid:durableId="754205179">
    <w:abstractNumId w:val="4"/>
  </w:num>
  <w:num w:numId="9" w16cid:durableId="1107117839">
    <w:abstractNumId w:val="0"/>
  </w:num>
  <w:num w:numId="10" w16cid:durableId="118259020">
    <w:abstractNumId w:val="11"/>
  </w:num>
  <w:num w:numId="11" w16cid:durableId="1851142576">
    <w:abstractNumId w:val="8"/>
  </w:num>
  <w:num w:numId="12" w16cid:durableId="4017602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1D6"/>
    <w:rsid w:val="000D585A"/>
    <w:rsid w:val="0014523D"/>
    <w:rsid w:val="006151D6"/>
    <w:rsid w:val="009972B7"/>
    <w:rsid w:val="00AA0B1D"/>
    <w:rsid w:val="00E12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14196"/>
  <w15:docId w15:val="{90278333-D1EF-45AF-B1D9-E6765BAD2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857</Words>
  <Characters>4780</Characters>
  <Application>Microsoft Office Word</Application>
  <DocSecurity>0</DocSecurity>
  <Lines>119</Lines>
  <Paragraphs>52</Paragraphs>
  <ScaleCrop>false</ScaleCrop>
  <Company/>
  <LinksUpToDate>false</LinksUpToDate>
  <CharactersWithSpaces>5585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MTB R</dc:creator>
  <cp:lastModifiedBy>MTB R</cp:lastModifiedBy>
  <cp:revision>3</cp:revision>
  <dcterms:created xsi:type="dcterms:W3CDTF">2026-03-30T12:20:00Z</dcterms:created>
  <dcterms:modified xsi:type="dcterms:W3CDTF">2026-04-01T17:17:00Z</dcterms:modified>
</cp:coreProperties>
</file>