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0" w:name="content"/>
    <w:bookmarkStart w:id="49" w:name="Xcecd52ef05905940c4f4b2c2882ec1ebc9b7076"/>
    <w:p>
      <w:pPr>
        <w:pStyle w:val="Heading1"/>
      </w:pPr>
      <w:r>
        <w:t xml:space="preserve">Архитектурный документ для торгового робота на Московской бирже по акциям SBER и GAZP</w:t>
      </w:r>
    </w:p>
    <w:p>
      <w:pPr>
        <w:pStyle w:val="FirstParagraph"/>
      </w:pPr>
      <w:r>
        <w:t xml:space="preserve">Этот документ описывает целевую архитектуру робота для торговли акциями Сбера и Газпрома на таймфреймах 5, 10 и 15 минут через Т‑Инвестиции, с бэкендом полностью на Python и фронтендом на Vue 3 в тёмной теме. Документ фокусируется на инженерной архитектуре, сессионной модели, логировании, отчётности и эксплуатационной устойчивости. Он не является индивидуальной инвестиционной рекомендацией.</w:t>
      </w:r>
    </w:p>
    <w:bookmarkStart w:id="24" w:name="исполнительное-резюме"/>
    <w:p>
      <w:pPr>
        <w:pStyle w:val="Heading2"/>
      </w:pPr>
      <w:r>
        <w:t xml:space="preserve">Исполнительное резюме</w:t>
      </w:r>
    </w:p>
    <w:p>
      <w:pPr>
        <w:pStyle w:val="FirstParagraph"/>
      </w:pPr>
      <w:r>
        <w:t xml:space="preserve">Для вашего кейса я рекомендую не «настоящую» распределённую микросервисную систему, а</w:t>
      </w:r>
      <w:r>
        <w:t xml:space="preserve"> </w:t>
      </w:r>
      <w:r>
        <w:rPr>
          <w:b/>
          <w:bCs/>
        </w:rPr>
        <w:t xml:space="preserve">модульный торговый контур на Python с разделением по контейнерам только там, где это действительно даёт пользу</w:t>
      </w:r>
      <w:r>
        <w:t xml:space="preserve">: один критический контейнер</w:t>
      </w:r>
      <w:r>
        <w:t xml:space="preserve"> </w:t>
      </w:r>
      <w:r>
        <w:rPr>
          <w:rStyle w:val="VerbatimChar"/>
        </w:rPr>
        <w:t xml:space="preserve">trade-core</w:t>
      </w:r>
      <w:r>
        <w:t xml:space="preserve"> </w:t>
      </w:r>
      <w:r>
        <w:t xml:space="preserve">для рыночных данных, стратегии, риск-контроля и исполнения; отдельный</w:t>
      </w:r>
      <w:r>
        <w:t xml:space="preserve"> </w:t>
      </w:r>
      <w:r>
        <w:rPr>
          <w:rStyle w:val="VerbatimChar"/>
        </w:rPr>
        <w:t xml:space="preserve">api</w:t>
      </w:r>
      <w:r>
        <w:t xml:space="preserve"> </w:t>
      </w:r>
      <w:r>
        <w:t xml:space="preserve">для FastAPI; отдельный</w:t>
      </w:r>
      <w:r>
        <w:t xml:space="preserve"> </w:t>
      </w:r>
      <w:r>
        <w:rPr>
          <w:rStyle w:val="VerbatimChar"/>
        </w:rPr>
        <w:t xml:space="preserve">report-worker</w:t>
      </w:r>
      <w:r>
        <w:t xml:space="preserve"> </w:t>
      </w:r>
      <w:r>
        <w:t xml:space="preserve">для часовых и суточных отчётов; PostgreSQL как системную БД; Redis как брокер фоновых задач; Fluent Bit + Loki + Grafana + Prometheus как слой наблюдаемости. Такой стек хорошо ложится на Docker Compose, даёт управляемую сложность и остаётся расширяемым. T‑Invest API официально поддерживает gRPC как основной протокол, отдельный JSON WebSocket для стриминга, FastAPI штатно поддерживает WebSocket-эндпоинты, а Docker Compose позволяет задавать</w:t>
      </w:r>
      <w:r>
        <w:t xml:space="preserve"> </w:t>
      </w:r>
      <w:r>
        <w:rPr>
          <w:rStyle w:val="VerbatimChar"/>
        </w:rPr>
        <w:t xml:space="preserve">healthcheck</w:t>
      </w:r>
      <w:r>
        <w:t xml:space="preserve"> </w:t>
      </w:r>
      <w:r>
        <w:t xml:space="preserve">и управлять порядком старта/остановки зависимых сервисов.</w:t>
      </w:r>
      <w:r>
        <w:t xml:space="preserve"> </w:t>
      </w:r>
      <w:hyperlink r:id="rId21">
        <w:r>
          <w:rPr>
            <w:rStyle w:val="Hyperlink"/>
          </w:rPr>
          <w:t xml:space="preserve">[1]</w:t>
        </w:r>
      </w:hyperlink>
    </w:p>
    <w:p>
      <w:pPr>
        <w:pStyle w:val="BodyText"/>
      </w:pPr>
      <w:r>
        <w:t xml:space="preserve">Стартовый торговый универсум я бы оставил таким:</w:t>
      </w:r>
      <w:r>
        <w:t xml:space="preserve"> </w:t>
      </w:r>
      <w:r>
        <w:rPr>
          <w:b/>
          <w:bCs/>
        </w:rPr>
        <w:t xml:space="preserve">SBER + GAZP</w:t>
      </w:r>
      <w:r>
        <w:t xml:space="preserve">, а в качестве третьей бумаги —</w:t>
      </w:r>
      <w:r>
        <w:t xml:space="preserve"> </w:t>
      </w:r>
      <w:r>
        <w:rPr>
          <w:b/>
          <w:bCs/>
        </w:rPr>
        <w:t xml:space="preserve">LKOH</w:t>
      </w:r>
      <w:r>
        <w:t xml:space="preserve">. Причина не в «магии» тикера, а в том, что все три бумаги допущены к утренней, вечерней и выходной дополнительной сессии на Московской бирже, а SBER, LKOH и GAZP входят в верхнюю часть Индекса голубых фишек Мосбиржи, который сам по определению отражает наиболее ликвидные российские акции. Для исполнения это тоже удобно: у SBER лот 1, у GAZP лот 10, у LKOH лот 1.</w:t>
      </w:r>
      <w:r>
        <w:t xml:space="preserve"> </w:t>
      </w:r>
      <w:hyperlink r:id="rId22">
        <w:r>
          <w:rPr>
            <w:rStyle w:val="Hyperlink"/>
          </w:rPr>
          <w:t xml:space="preserve">[2]</w:t>
        </w:r>
      </w:hyperlink>
    </w:p>
    <w:p>
      <w:pPr>
        <w:pStyle w:val="BodyText"/>
      </w:pPr>
      <w:r>
        <w:t xml:space="preserve">Самое важное архитектурное решение —</w:t>
      </w:r>
      <w:r>
        <w:t xml:space="preserve"> </w:t>
      </w:r>
      <w:r>
        <w:rPr>
          <w:b/>
          <w:bCs/>
        </w:rPr>
        <w:t xml:space="preserve">не останавливать час за часом весь Docker-стек физически</w:t>
      </w:r>
      <w:r>
        <w:t xml:space="preserve">, а делать</w:t>
      </w:r>
      <w:r>
        <w:t xml:space="preserve"> </w:t>
      </w:r>
      <w:r>
        <w:rPr>
          <w:b/>
          <w:bCs/>
        </w:rPr>
        <w:t xml:space="preserve">логическое закрытие почасовой микро-сессии</w:t>
      </w:r>
      <w:r>
        <w:t xml:space="preserve"> </w:t>
      </w:r>
      <w:r>
        <w:t xml:space="preserve">внутри долгоживущего торгового процесса. У T‑Invest стримы могут рваться по сетевым причинам, из‑за лимитов, из‑за техработ и по регламенту; брокер прямо рекомендует реализовывать retry с экспоненциальной задержкой и восстановление пропущенных данных через unary-методы, а срок жизни стрим-соединения ограничен одной неделей и может завершаться раньше по инициативе API. Если добавлять к этому ещё и собственные принудительные рестарты каждый час, то вы искусственно повышаете вероятность пропуска данных и рассинхронизации состояний. Поэтому час должен завершаться</w:t>
      </w:r>
      <w:r>
        <w:t xml:space="preserve"> </w:t>
      </w:r>
      <w:r>
        <w:rPr>
          <w:b/>
          <w:bCs/>
        </w:rPr>
        <w:t xml:space="preserve">как доменная сессия</w:t>
      </w:r>
      <w:r>
        <w:t xml:space="preserve">, а не как рестарт контейнера.</w:t>
      </w:r>
      <w:r>
        <w:t xml:space="preserve"> </w:t>
      </w:r>
      <w:hyperlink r:id="rId23">
        <w:r>
          <w:rPr>
            <w:rStyle w:val="Hyperlink"/>
          </w:rPr>
          <w:t xml:space="preserve">[3]</w:t>
        </w:r>
      </w:hyperlink>
    </w:p>
    <w:bookmarkEnd w:id="24"/>
    <w:bookmarkStart w:id="30" w:name="биржевой-и-брокерский-контекст"/>
    <w:p>
      <w:pPr>
        <w:pStyle w:val="Heading2"/>
      </w:pPr>
      <w:r>
        <w:t xml:space="preserve">Биржевой и брокерский контекст</w:t>
      </w:r>
    </w:p>
    <w:p>
      <w:pPr>
        <w:pStyle w:val="FirstParagraph"/>
      </w:pPr>
      <w:r>
        <w:t xml:space="preserve">На рынке акций Московской биржи для бумаг, допущенных к утренней сессии, расписание сейчас выглядит так:</w:t>
      </w:r>
      <w:r>
        <w:t xml:space="preserve"> </w:t>
      </w:r>
      <w:r>
        <w:rPr>
          <w:b/>
          <w:bCs/>
        </w:rPr>
        <w:t xml:space="preserve">утренняя дополнительная сессия</w:t>
      </w:r>
      <w:r>
        <w:t xml:space="preserve"> </w:t>
      </w:r>
      <w:r>
        <w:t xml:space="preserve">с 06:50 до 09:49:59 мск,</w:t>
      </w:r>
      <w:r>
        <w:t xml:space="preserve"> </w:t>
      </w:r>
      <w:r>
        <w:rPr>
          <w:b/>
          <w:bCs/>
        </w:rPr>
        <w:t xml:space="preserve">основная сессия</w:t>
      </w:r>
      <w:r>
        <w:t xml:space="preserve"> </w:t>
      </w:r>
      <w:r>
        <w:t xml:space="preserve">с 09:50 до 18:59:30 мск и</w:t>
      </w:r>
      <w:r>
        <w:t xml:space="preserve"> </w:t>
      </w:r>
      <w:r>
        <w:rPr>
          <w:b/>
          <w:bCs/>
        </w:rPr>
        <w:t xml:space="preserve">вечерняя дополнительная сессия</w:t>
      </w:r>
      <w:r>
        <w:t xml:space="preserve"> </w:t>
      </w:r>
      <w:r>
        <w:t xml:space="preserve">с 19:00:01 до 23:49:59 мск. Биржа также прямо указывает, что между утренней и основной сессией есть секундный перерыв, а между основной и вечерней — двухсекундный перерыв, в которые выставлять заявки и заключать сделки нельзя; в таблице расписания отдельно выделены аукцион открытия и аукцион закрытия. Это значит, что архитектура робота должна знать не только «таймслот дня», но и</w:t>
      </w:r>
      <w:r>
        <w:t xml:space="preserve"> </w:t>
      </w:r>
      <w:r>
        <w:rPr>
          <w:b/>
          <w:bCs/>
        </w:rPr>
        <w:t xml:space="preserve">подфазу рынка</w:t>
      </w:r>
      <w:r>
        <w:t xml:space="preserve">: opening auction, continuous trading, closing auction, break.</w:t>
      </w:r>
      <w:r>
        <w:t xml:space="preserve"> </w:t>
      </w:r>
      <w:hyperlink r:id="rId25">
        <w:r>
          <w:rPr>
            <w:rStyle w:val="Hyperlink"/>
          </w:rPr>
          <w:t xml:space="preserve">[4]</w:t>
        </w:r>
      </w:hyperlink>
    </w:p>
    <w:p>
      <w:pPr>
        <w:pStyle w:val="BodyText"/>
      </w:pPr>
      <w:r>
        <w:t xml:space="preserve">Для</w:t>
      </w:r>
      <w:r>
        <w:t xml:space="preserve"> </w:t>
      </w:r>
      <w:r>
        <w:rPr>
          <w:b/>
          <w:bCs/>
        </w:rPr>
        <w:t xml:space="preserve">дополнительной сессии выходного дня</w:t>
      </w:r>
      <w:r>
        <w:t xml:space="preserve"> </w:t>
      </w:r>
      <w:r>
        <w:t xml:space="preserve">рынок акций работает отдельно: по допущенным бумагам сессия идёт с 09:50 до 18:59:59 мск, а непрерывный торговый период — с 10:00 до 18:59:59 после аукциона открытия с 09:50 до 09:59:59. На выходных Мосбиржа отдельно отмечает узкие ценовые границы для акций —</w:t>
      </w:r>
      <w:r>
        <w:t xml:space="preserve"> </w:t>
      </w:r>
      <w:r>
        <w:rPr>
          <w:b/>
          <w:bCs/>
        </w:rPr>
        <w:t xml:space="preserve">±3%</w:t>
      </w:r>
      <w:r>
        <w:t xml:space="preserve"> </w:t>
      </w:r>
      <w:r>
        <w:t xml:space="preserve">от последней текущей цены предыдущего торгового дня, отсутствие дискретного аукциона и то, что индекс IMOEX в эту сессию не рассчитывается. Из этого следует инженерный вывод:</w:t>
      </w:r>
      <w:r>
        <w:t xml:space="preserve"> </w:t>
      </w:r>
      <w:r>
        <w:rPr>
          <w:b/>
          <w:bCs/>
        </w:rPr>
        <w:t xml:space="preserve">выходную сессию нельзя смешивать с будничной ни в логах, ни в калибровке, ни в параметрах стратегии</w:t>
      </w:r>
      <w:r>
        <w:t xml:space="preserve">; это отдельный режим рынка.</w:t>
      </w:r>
      <w:r>
        <w:t xml:space="preserve"> </w:t>
      </w:r>
      <w:hyperlink r:id="rId26">
        <w:r>
          <w:rPr>
            <w:rStyle w:val="Hyperlink"/>
          </w:rPr>
          <w:t xml:space="preserve">[5]</w:t>
        </w:r>
      </w:hyperlink>
    </w:p>
    <w:p>
      <w:pPr>
        <w:pStyle w:val="BodyText"/>
      </w:pPr>
      <w:r>
        <w:t xml:space="preserve">У SBER и GAZP допуск к утренней, вечерней и выходной дополнительной сессии есть; то же верно для LKOH. Для исполнения это важно, потому что session manager не должен работать «по абстрактному расписанию рынка акций», а должен учитывать</w:t>
      </w:r>
      <w:r>
        <w:t xml:space="preserve"> </w:t>
      </w:r>
      <w:r>
        <w:rPr>
          <w:b/>
          <w:bCs/>
        </w:rPr>
        <w:t xml:space="preserve">допуск конкретного инструмента</w:t>
      </w:r>
      <w:r>
        <w:t xml:space="preserve">. По карточкам бумаг на MOEX также полезно закладывать корректную лотность: SBER — лот 1, GAZP — лот 10, LKOH — лот 1.</w:t>
      </w:r>
      <w:r>
        <w:t xml:space="preserve"> </w:t>
      </w:r>
      <w:hyperlink r:id="rId22">
        <w:r>
          <w:rPr>
            <w:rStyle w:val="Hyperlink"/>
          </w:rPr>
          <w:t xml:space="preserve">[6]</w:t>
        </w:r>
      </w:hyperlink>
    </w:p>
    <w:p>
      <w:pPr>
        <w:pStyle w:val="BodyText"/>
      </w:pPr>
      <w:r>
        <w:t xml:space="preserve">По брокерской стоимости на тарифе</w:t>
      </w:r>
      <w:r>
        <w:t xml:space="preserve"> </w:t>
      </w:r>
      <w:r>
        <w:rPr>
          <w:b/>
          <w:bCs/>
        </w:rPr>
        <w:t xml:space="preserve">«Трейдер»</w:t>
      </w:r>
      <w:r>
        <w:t xml:space="preserve"> </w:t>
      </w:r>
      <w:r>
        <w:t xml:space="preserve">у Т‑Инвестиций комиссия за сделку с ценными бумагами составляет</w:t>
      </w:r>
      <w:r>
        <w:t xml:space="preserve"> </w:t>
      </w:r>
      <w:r>
        <w:rPr>
          <w:b/>
          <w:bCs/>
        </w:rPr>
        <w:t xml:space="preserve">0,05%</w:t>
      </w:r>
      <w:r>
        <w:t xml:space="preserve">, причём в тарифной странице прямо указано, что биржевая комиссия уже включена в брокерскую; ежемесячная плата —</w:t>
      </w:r>
      <w:r>
        <w:t xml:space="preserve"> </w:t>
      </w:r>
      <w:r>
        <w:rPr>
          <w:b/>
          <w:bCs/>
        </w:rPr>
        <w:t xml:space="preserve">390 ₽</w:t>
      </w:r>
      <w:r>
        <w:t xml:space="preserve">, либо 0 ₽ при суммарных активах от 1,5 млн ₽. Для бэктеста и калибровки это означает, что минимум, который надо закладывать в модель издержек, —</w:t>
      </w:r>
      <w:r>
        <w:t xml:space="preserve"> </w:t>
      </w:r>
      <w:r>
        <w:rPr>
          <w:b/>
          <w:bCs/>
        </w:rPr>
        <w:t xml:space="preserve">0,05% на сторону</w:t>
      </w:r>
      <w:r>
        <w:t xml:space="preserve">, то есть</w:t>
      </w:r>
      <w:r>
        <w:t xml:space="preserve"> </w:t>
      </w:r>
      <w:r>
        <w:rPr>
          <w:b/>
          <w:bCs/>
        </w:rPr>
        <w:t xml:space="preserve">0,10% round-trip</w:t>
      </w:r>
      <w:r>
        <w:t xml:space="preserve">, и уже поверх этого считать спред и проскальзывание.</w:t>
      </w:r>
      <w:r>
        <w:t xml:space="preserve"> </w:t>
      </w:r>
      <w:hyperlink r:id="rId27">
        <w:r>
          <w:rPr>
            <w:rStyle w:val="Hyperlink"/>
          </w:rPr>
          <w:t xml:space="preserve">[7]</w:t>
        </w:r>
      </w:hyperlink>
    </w:p>
    <w:p>
      <w:pPr>
        <w:pStyle w:val="BodyText"/>
      </w:pPr>
      <w:r>
        <w:t xml:space="preserve">В части API важно не перепутать роли протоколов. T‑Invest описывает работу как gRPC-API с bidirectional streaming, а WebSocket — как отдельный JSON WebSocket-сервис для получения стриминговых сообщений. Иными словами,</w:t>
      </w:r>
      <w:r>
        <w:t xml:space="preserve"> </w:t>
      </w:r>
      <w:r>
        <w:rPr>
          <w:b/>
          <w:bCs/>
        </w:rPr>
        <w:t xml:space="preserve">для Python-торгового ядра лучше делать ставку на gRPC как основной транспорт</w:t>
      </w:r>
      <w:r>
        <w:t xml:space="preserve">, а WebSocket оставить опцией для стриминга и/или bridge-слоя в сторону фронтенда. Также из документации видно, что рыночные стримы и стримы состояний заявок доступны через потоковые сервисы, а выставление ордеров делается отдельными unary-методами вроде</w:t>
      </w:r>
      <w:r>
        <w:t xml:space="preserve"> </w:t>
      </w:r>
      <w:r>
        <w:rPr>
          <w:rStyle w:val="VerbatimChar"/>
        </w:rPr>
        <w:t xml:space="preserve">PostOrder</w:t>
      </w:r>
      <w:r>
        <w:t xml:space="preserve">.</w:t>
      </w:r>
      <w:r>
        <w:t xml:space="preserve"> </w:t>
      </w:r>
      <w:hyperlink r:id="rId28">
        <w:r>
          <w:rPr>
            <w:rStyle w:val="Hyperlink"/>
          </w:rPr>
          <w:t xml:space="preserve">[8]</w:t>
        </w:r>
      </w:hyperlink>
    </w:p>
    <w:p>
      <w:pPr>
        <w:pStyle w:val="BodyText"/>
      </w:pPr>
      <w:r>
        <w:t xml:space="preserve">Есть и ещё одно важное ограничение по режимам торгов. Т‑Invest прямо указывает, что актуальный статус инструмента нужно проверять через</w:t>
      </w:r>
      <w:r>
        <w:t xml:space="preserve"> </w:t>
      </w:r>
      <w:r>
        <w:rPr>
          <w:rStyle w:val="VerbatimChar"/>
        </w:rPr>
        <w:t xml:space="preserve">GetTradingStatus</w:t>
      </w:r>
      <w:r>
        <w:t xml:space="preserve"> </w:t>
      </w:r>
      <w:r>
        <w:t xml:space="preserve">или подписку</w:t>
      </w:r>
      <w:r>
        <w:t xml:space="preserve"> </w:t>
      </w:r>
      <w:r>
        <w:rPr>
          <w:rStyle w:val="VerbatimChar"/>
        </w:rPr>
        <w:t xml:space="preserve">Info</w:t>
      </w:r>
      <w:r>
        <w:t xml:space="preserve">, а в зависимости от статуса меняется допустимость лимитных и рыночных заявок: например, в</w:t>
      </w:r>
      <w:r>
        <w:t xml:space="preserve"> </w:t>
      </w:r>
      <w:r>
        <w:rPr>
          <w:rStyle w:val="VerbatimChar"/>
        </w:rPr>
        <w:t xml:space="preserve">OPENING_PERIOD</w:t>
      </w:r>
      <w:r>
        <w:t xml:space="preserve"> </w:t>
      </w:r>
      <w:r>
        <w:t xml:space="preserve">и</w:t>
      </w:r>
      <w:r>
        <w:t xml:space="preserve"> </w:t>
      </w:r>
      <w:r>
        <w:rPr>
          <w:rStyle w:val="VerbatimChar"/>
        </w:rPr>
        <w:t xml:space="preserve">CLOSING_PERIOD</w:t>
      </w:r>
      <w:r>
        <w:t xml:space="preserve"> </w:t>
      </w:r>
      <w:r>
        <w:t xml:space="preserve">доступны лимитные, но нет рыночных, а в</w:t>
      </w:r>
      <w:r>
        <w:t xml:space="preserve"> </w:t>
      </w:r>
      <w:r>
        <w:rPr>
          <w:rStyle w:val="VerbatimChar"/>
        </w:rPr>
        <w:t xml:space="preserve">NORMAL_TRADING</w:t>
      </w:r>
      <w:r>
        <w:t xml:space="preserve"> </w:t>
      </w:r>
      <w:r>
        <w:t xml:space="preserve">доступны оба типа. Для робота это означает, что решение «какую заявку послать» не должно зависеть только от стратегии; оно обязано проходить через session/risk layer, который сначала смотрит текущий статус инструмента. Дополнительно</w:t>
      </w:r>
      <w:r>
        <w:t xml:space="preserve"> </w:t>
      </w:r>
      <w:r>
        <w:rPr>
          <w:rStyle w:val="VerbatimChar"/>
        </w:rPr>
        <w:t xml:space="preserve">TIME_IN_FORCE_FILL_OR_KILL</w:t>
      </w:r>
      <w:r>
        <w:t xml:space="preserve"> </w:t>
      </w:r>
      <w:r>
        <w:t xml:space="preserve">по документации недоступен в торговле по выходным, так что базовым режимом исполнения для вашего робота должен быть</w:t>
      </w:r>
      <w:r>
        <w:t xml:space="preserve"> </w:t>
      </w:r>
      <w:r>
        <w:rPr>
          <w:rStyle w:val="VerbatimChar"/>
        </w:rPr>
        <w:t xml:space="preserve">DAY</w:t>
      </w:r>
      <w:r>
        <w:t xml:space="preserve">, а агрессивные FOK/FaK-сценарии — только как осознанно включаемая опция в разрешённых фазах.</w:t>
      </w:r>
      <w:r>
        <w:t xml:space="preserve"> </w:t>
      </w:r>
      <w:hyperlink r:id="rId29">
        <w:r>
          <w:rPr>
            <w:rStyle w:val="Hyperlink"/>
          </w:rPr>
          <w:t xml:space="preserve">[9]</w:t>
        </w:r>
      </w:hyperlink>
    </w:p>
    <w:bookmarkEnd w:id="30"/>
    <w:bookmarkStart w:id="37" w:name="целевая-архитектура"/>
    <w:p>
      <w:pPr>
        <w:pStyle w:val="Heading2"/>
      </w:pPr>
      <w:r>
        <w:t xml:space="preserve">Целевая архитектура</w:t>
      </w:r>
    </w:p>
    <w:p>
      <w:pPr>
        <w:pStyle w:val="FirstParagraph"/>
      </w:pPr>
      <w:r>
        <w:t xml:space="preserve">Рекомендую следующую</w:t>
      </w:r>
      <w:r>
        <w:t xml:space="preserve"> </w:t>
      </w:r>
      <w:r>
        <w:rPr>
          <w:b/>
          <w:bCs/>
        </w:rPr>
        <w:t xml:space="preserve">целевую форму системы</w:t>
      </w:r>
      <w:r>
        <w:t xml:space="preserve">: критический путь держать в одном процессе и одном контейнере</w:t>
      </w:r>
      <w:r>
        <w:t xml:space="preserve"> </w:t>
      </w:r>
      <w:r>
        <w:rPr>
          <w:rStyle w:val="VerbatimChar"/>
        </w:rPr>
        <w:t xml:space="preserve">trade-core</w:t>
      </w:r>
      <w:r>
        <w:t xml:space="preserve">, а всё, что можно вынести без потери целостности торгового состояния, — вынести отдельно. Для стратегии на трёх бумагах и таймфреймах 5/10/15 минут это лучше, чем микросервисная россыпь: меньше сетевых hops, меньше мест отказа, проще deterministic replay, проще часовая ротация логических сессий и проще атомарная запись состояния. При этом событийность внутри контура всё равно сохраняется — только не через внешний брокер сообщений на каждом шаге, а через внутреннюю event-модель и outbox-подход для внешних потребителей. Основание для такого выбора — не «анти-микросервисная» идеология, а требования T‑Invest к устойчивой работе стримов, явной обработке разрывов и восстановлению состояния.</w:t>
      </w:r>
      <w:r>
        <w:t xml:space="preserve"> </w:t>
      </w:r>
      <w:hyperlink r:id="rId23">
        <w:r>
          <w:rPr>
            <w:rStyle w:val="Hyperlink"/>
          </w:rPr>
          <w:t xml:space="preserve">[10]</w:t>
        </w:r>
      </w:hyperlink>
    </w:p>
    <w:p>
      <w:pPr>
        <w:pStyle w:val="BodyText"/>
      </w:pPr>
      <w:r>
        <w:t xml:space="preserve">Практически это можно разложить так:</w:t>
      </w:r>
    </w:p>
    <w:p>
      <w:pPr>
        <w:pStyle w:val="Compact"/>
        <w:numPr>
          <w:ilvl w:val="0"/>
          <w:numId w:val="1001"/>
        </w:numPr>
      </w:pPr>
      <w:r>
        <w:rPr>
          <w:rStyle w:val="VerbatimChar"/>
          <w:b/>
          <w:bCs/>
        </w:rPr>
        <w:t xml:space="preserve">trade-core</w:t>
      </w:r>
      <w:r>
        <w:t xml:space="preserve">: Python</w:t>
      </w:r>
      <w:r>
        <w:t xml:space="preserve"> </w:t>
      </w:r>
      <w:r>
        <w:rPr>
          <w:rStyle w:val="VerbatimChar"/>
        </w:rPr>
        <w:t xml:space="preserve">asyncio</w:t>
      </w:r>
      <w:r>
        <w:t xml:space="preserve">-процесс, содержащий market gateway, session manager, bar engine, strategy engine, risk engine, execution engine и reconciliation layer.</w:t>
      </w:r>
    </w:p>
    <w:p>
      <w:pPr>
        <w:pStyle w:val="Compact"/>
        <w:numPr>
          <w:ilvl w:val="0"/>
          <w:numId w:val="1001"/>
        </w:numPr>
      </w:pPr>
      <w:r>
        <w:rPr>
          <w:rStyle w:val="VerbatimChar"/>
          <w:b/>
          <w:bCs/>
        </w:rPr>
        <w:t xml:space="preserve">api</w:t>
      </w:r>
      <w:r>
        <w:t xml:space="preserve">: FastAPI-приложение с REST для управления конфигурацией, просмотра отчётов и ручных операций, плюс WebSocket-канал для live-дашборда.</w:t>
      </w:r>
    </w:p>
    <w:p>
      <w:pPr>
        <w:pStyle w:val="Compact"/>
        <w:numPr>
          <w:ilvl w:val="0"/>
          <w:numId w:val="1001"/>
        </w:numPr>
      </w:pPr>
      <w:r>
        <w:rPr>
          <w:rStyle w:val="VerbatimChar"/>
          <w:b/>
          <w:bCs/>
        </w:rPr>
        <w:t xml:space="preserve">report-worker</w:t>
      </w:r>
      <w:r>
        <w:t xml:space="preserve">: Celery worker для асинхронной сборки часовых отчётов, суточных отчётов и задач калибровки.</w:t>
      </w:r>
    </w:p>
    <w:p>
      <w:pPr>
        <w:pStyle w:val="Compact"/>
        <w:numPr>
          <w:ilvl w:val="0"/>
          <w:numId w:val="1001"/>
        </w:numPr>
      </w:pPr>
      <w:r>
        <w:rPr>
          <w:rStyle w:val="VerbatimChar"/>
          <w:b/>
          <w:bCs/>
        </w:rPr>
        <w:t xml:space="preserve">postgres</w:t>
      </w:r>
      <w:r>
        <w:t xml:space="preserve">: источник истины по конфигурации, сессиям, сигналам, ордерам, исполнениям, рисковым событиям и отчётам.</w:t>
      </w:r>
    </w:p>
    <w:p>
      <w:pPr>
        <w:pStyle w:val="Compact"/>
        <w:numPr>
          <w:ilvl w:val="0"/>
          <w:numId w:val="1001"/>
        </w:numPr>
      </w:pPr>
      <w:r>
        <w:rPr>
          <w:rStyle w:val="VerbatimChar"/>
          <w:b/>
          <w:bCs/>
        </w:rPr>
        <w:t xml:space="preserve">redis</w:t>
      </w:r>
      <w:r>
        <w:t xml:space="preserve">: брокер Celery и лёгкий coordination/cache слой.</w:t>
      </w:r>
    </w:p>
    <w:p>
      <w:pPr>
        <w:pStyle w:val="Compact"/>
        <w:numPr>
          <w:ilvl w:val="0"/>
          <w:numId w:val="1001"/>
        </w:numPr>
      </w:pPr>
      <w:r>
        <w:rPr>
          <w:rStyle w:val="VerbatimChar"/>
          <w:b/>
          <w:bCs/>
        </w:rPr>
        <w:t xml:space="preserve">fluent-bit</w:t>
      </w:r>
      <w:r>
        <w:rPr>
          <w:b/>
          <w:bCs/>
        </w:rPr>
        <w:t xml:space="preserve"> </w:t>
      </w:r>
      <w:r>
        <w:rPr>
          <w:b/>
          <w:bCs/>
        </w:rPr>
        <w:t xml:space="preserve">+</w:t>
      </w:r>
      <w:r>
        <w:rPr>
          <w:b/>
          <w:bCs/>
        </w:rPr>
        <w:t xml:space="preserve"> </w:t>
      </w:r>
      <w:r>
        <w:rPr>
          <w:rStyle w:val="VerbatimChar"/>
          <w:b/>
          <w:bCs/>
        </w:rPr>
        <w:t xml:space="preserve">loki</w:t>
      </w:r>
      <w:r>
        <w:rPr>
          <w:b/>
          <w:bCs/>
        </w:rPr>
        <w:t xml:space="preserve"> </w:t>
      </w:r>
      <w:r>
        <w:rPr>
          <w:b/>
          <w:bCs/>
        </w:rPr>
        <w:t xml:space="preserve">+</w:t>
      </w:r>
      <w:r>
        <w:rPr>
          <w:b/>
          <w:bCs/>
        </w:rPr>
        <w:t xml:space="preserve"> </w:t>
      </w:r>
      <w:r>
        <w:rPr>
          <w:rStyle w:val="VerbatimChar"/>
          <w:b/>
          <w:bCs/>
        </w:rPr>
        <w:t xml:space="preserve">grafana</w:t>
      </w:r>
      <w:r>
        <w:rPr>
          <w:b/>
          <w:bCs/>
        </w:rPr>
        <w:t xml:space="preserve"> </w:t>
      </w:r>
      <w:r>
        <w:rPr>
          <w:b/>
          <w:bCs/>
        </w:rPr>
        <w:t xml:space="preserve">+</w:t>
      </w:r>
      <w:r>
        <w:rPr>
          <w:b/>
          <w:bCs/>
        </w:rPr>
        <w:t xml:space="preserve"> </w:t>
      </w:r>
      <w:r>
        <w:rPr>
          <w:rStyle w:val="VerbatimChar"/>
          <w:b/>
          <w:bCs/>
        </w:rPr>
        <w:t xml:space="preserve">prometheus</w:t>
      </w:r>
      <w:r>
        <w:t xml:space="preserve">: единый контур логов, метрик и дашбордов.</w:t>
      </w:r>
    </w:p>
    <w:p>
      <w:pPr>
        <w:pStyle w:val="FirstParagraph"/>
      </w:pPr>
      <w:r>
        <w:t xml:space="preserve">Такой набор хорошо поддерживается Docker Compose и даёт естественное разделение между latency-sensitive и not-latency-sensitive компонентами.</w:t>
      </w:r>
      <w:r>
        <w:t xml:space="preserve"> </w:t>
      </w:r>
      <w:hyperlink r:id="rId31">
        <w:r>
          <w:rPr>
            <w:rStyle w:val="Hyperlink"/>
          </w:rPr>
          <w:t xml:space="preserve">[11]</w:t>
        </w:r>
      </w:hyperlink>
    </w:p>
    <w:p>
      <w:pPr>
        <w:pStyle w:val="BodyText"/>
      </w:pPr>
      <w:r>
        <w:t xml:space="preserve">Архитектурный контур можно представить так:</w:t>
      </w:r>
    </w:p>
    <w:p>
      <w:pPr>
        <w:pStyle w:val="SourceCode"/>
      </w:pPr>
      <w:r>
        <w:rPr>
          <w:rStyle w:val="VerbatimChar"/>
        </w:rPr>
        <w:t xml:space="preserve">                 T-Invest API</w:t>
      </w:r>
      <w:r>
        <w:br/>
      </w:r>
      <w:r>
        <w:rPr>
          <w:rStyle w:val="VerbatimChar"/>
        </w:rPr>
        <w:t xml:space="preserve">        gRPC unary + gRPC/WebSocket streams</w:t>
      </w:r>
      <w:r>
        <w:br/>
      </w:r>
      <w:r>
        <w:rPr>
          <w:rStyle w:val="VerbatimChar"/>
        </w:rPr>
        <w:t xml:space="preserve">                        │</w:t>
      </w:r>
      <w:r>
        <w:br/>
      </w:r>
      <w:r>
        <w:rPr>
          <w:rStyle w:val="VerbatimChar"/>
        </w:rPr>
        <w:t xml:space="preserve">                        ▼</w:t>
      </w:r>
      <w:r>
        <w:br/>
      </w:r>
      <w:r>
        <w:rPr>
          <w:rStyle w:val="VerbatimChar"/>
        </w:rPr>
        <w:t xml:space="preserve">                  trade-core</w:t>
      </w:r>
      <w:r>
        <w:br/>
      </w:r>
      <w:r>
        <w:rPr>
          <w:rStyle w:val="VerbatimChar"/>
        </w:rPr>
        <w:t xml:space="preserve">   ┌─────────────────────────────────────────────┐</w:t>
      </w:r>
      <w:r>
        <w:br/>
      </w:r>
      <w:r>
        <w:rPr>
          <w:rStyle w:val="VerbatimChar"/>
        </w:rPr>
        <w:t xml:space="preserve">   │ session manager │ market gateway │ risk     │</w:t>
      </w:r>
      <w:r>
        <w:br/>
      </w:r>
      <w:r>
        <w:rPr>
          <w:rStyle w:val="VerbatimChar"/>
        </w:rPr>
        <w:t xml:space="preserve">   │ bar engine      │ strategy       │ execution│</w:t>
      </w:r>
      <w:r>
        <w:br/>
      </w:r>
      <w:r>
        <w:rPr>
          <w:rStyle w:val="VerbatimChar"/>
        </w:rPr>
        <w:t xml:space="preserve">   │ reconciliation  │ hourly rotator │ outbox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PostgreSQL         Redis/Celery    Prometheus</w:t>
      </w:r>
      <w:r>
        <w:br/>
      </w:r>
      <w:r>
        <w:rPr>
          <w:rStyle w:val="VerbatimChar"/>
        </w:rPr>
        <w:t xml:space="preserve">            │                 │               │</w:t>
      </w:r>
      <w:r>
        <w:br/>
      </w:r>
      <w:r>
        <w:rPr>
          <w:rStyle w:val="VerbatimChar"/>
        </w:rPr>
        <w:t xml:space="preserve">            └─────────► FastAPI API ◄────────┘</w:t>
      </w:r>
      <w:r>
        <w:br/>
      </w:r>
      <w:r>
        <w:rPr>
          <w:rStyle w:val="VerbatimChar"/>
        </w:rPr>
        <w:t xml:space="preserve">                              │</w:t>
      </w:r>
      <w:r>
        <w:br/>
      </w:r>
      <w:r>
        <w:rPr>
          <w:rStyle w:val="VerbatimChar"/>
        </w:rPr>
        <w:t xml:space="preserve">                              ▼</w:t>
      </w:r>
      <w:r>
        <w:br/>
      </w:r>
      <w:r>
        <w:rPr>
          <w:rStyle w:val="VerbatimChar"/>
        </w:rPr>
        <w:t xml:space="preserve">                        Vue 3 dark UI</w:t>
      </w:r>
      <w:r>
        <w:br/>
      </w:r>
      <w:r>
        <w:rPr>
          <w:rStyle w:val="VerbatimChar"/>
        </w:rPr>
        <w:t xml:space="preserve">                              │</w:t>
      </w:r>
      <w:r>
        <w:br/>
      </w:r>
      <w:r>
        <w:rPr>
          <w:rStyle w:val="VerbatimChar"/>
        </w:rPr>
        <w:t xml:space="preserve">                              ▼</w:t>
      </w:r>
      <w:r>
        <w:br/>
      </w:r>
      <w:r>
        <w:rPr>
          <w:rStyle w:val="VerbatimChar"/>
        </w:rPr>
        <w:t xml:space="preserve">                     Fluent Bit → Loki → Grafana</w:t>
      </w:r>
    </w:p>
    <w:p>
      <w:pPr>
        <w:pStyle w:val="FirstParagraph"/>
      </w:pPr>
      <w:r>
        <w:t xml:space="preserve">На уровне потока данных логика должна быть следующей. На старте</w:t>
      </w:r>
      <w:r>
        <w:t xml:space="preserve"> </w:t>
      </w:r>
      <w:r>
        <w:rPr>
          <w:rStyle w:val="VerbatimChar"/>
        </w:rPr>
        <w:t xml:space="preserve">trade-core</w:t>
      </w:r>
      <w:r>
        <w:t xml:space="preserve"> </w:t>
      </w:r>
      <w:r>
        <w:t xml:space="preserve">запрашивает расписание торгов через</w:t>
      </w:r>
      <w:r>
        <w:t xml:space="preserve"> </w:t>
      </w:r>
      <w:r>
        <w:rPr>
          <w:rStyle w:val="VerbatimChar"/>
        </w:rPr>
        <w:t xml:space="preserve">TradingSchedules</w:t>
      </w:r>
      <w:r>
        <w:t xml:space="preserve">, поднимает метаданные инструментов, открывает рыночный стрим и подписывается на свечи, last prices, order book и</w:t>
      </w:r>
      <w:r>
        <w:t xml:space="preserve"> </w:t>
      </w:r>
      <w:r>
        <w:rPr>
          <w:rStyle w:val="VerbatimChar"/>
        </w:rPr>
        <w:t xml:space="preserve">Info</w:t>
      </w:r>
      <w:r>
        <w:t xml:space="preserve">-статусы. Для самих стратегий по пятиминутке, десятиминутке и пятнадцатиминутке лучше использовать</w:t>
      </w:r>
      <w:r>
        <w:t xml:space="preserve"> </w:t>
      </w:r>
      <w:r>
        <w:rPr>
          <w:b/>
          <w:bCs/>
        </w:rPr>
        <w:t xml:space="preserve">закрытые свечи</w:t>
      </w:r>
      <w:r>
        <w:t xml:space="preserve">, а не «формирующиеся», для чего в подписке на свечи предусмотрен флаг</w:t>
      </w:r>
      <w:r>
        <w:t xml:space="preserve"> </w:t>
      </w:r>
      <w:r>
        <w:rPr>
          <w:rStyle w:val="VerbatimChar"/>
        </w:rPr>
        <w:t xml:space="preserve">waitingClose</w:t>
      </w:r>
      <w:r>
        <w:t xml:space="preserve">; при необходимости учитывать выходные есть</w:t>
      </w:r>
      <w:r>
        <w:t xml:space="preserve"> </w:t>
      </w:r>
      <w:r>
        <w:rPr>
          <w:rStyle w:val="VerbatimChar"/>
        </w:rPr>
        <w:t xml:space="preserve">CANDLE_SOURCE_INCLUDE_WEEKEND</w:t>
      </w:r>
      <w:r>
        <w:t xml:space="preserve">. В запросах следует использовать</w:t>
      </w:r>
      <w:r>
        <w:t xml:space="preserve"> </w:t>
      </w:r>
      <w:r>
        <w:rPr>
          <w:rStyle w:val="VerbatimChar"/>
        </w:rPr>
        <w:t xml:space="preserve">instrumentId</w:t>
      </w:r>
      <w:r>
        <w:t xml:space="preserve">, причём документация отдельно помечает</w:t>
      </w:r>
      <w:r>
        <w:t xml:space="preserve"> </w:t>
      </w:r>
      <w:r>
        <w:rPr>
          <w:rStyle w:val="VerbatimChar"/>
        </w:rPr>
        <w:t xml:space="preserve">figi</w:t>
      </w:r>
      <w:r>
        <w:t xml:space="preserve"> </w:t>
      </w:r>
      <w:r>
        <w:t xml:space="preserve">как deprecated и рекомендует</w:t>
      </w:r>
      <w:r>
        <w:t xml:space="preserve"> </w:t>
      </w:r>
      <w:r>
        <w:rPr>
          <w:rStyle w:val="VerbatimChar"/>
        </w:rPr>
        <w:t xml:space="preserve">instrument_uid</w:t>
      </w:r>
      <w:r>
        <w:t xml:space="preserve"> </w:t>
      </w:r>
      <w:r>
        <w:t xml:space="preserve">или иные формы</w:t>
      </w:r>
      <w:r>
        <w:t xml:space="preserve"> </w:t>
      </w:r>
      <w:r>
        <w:rPr>
          <w:rStyle w:val="VerbatimChar"/>
        </w:rPr>
        <w:t xml:space="preserve">instrumentId</w:t>
      </w:r>
      <w:r>
        <w:t xml:space="preserve">.</w:t>
      </w:r>
      <w:r>
        <w:t xml:space="preserve"> </w:t>
      </w:r>
      <w:hyperlink r:id="rId32">
        <w:r>
          <w:rPr>
            <w:rStyle w:val="Hyperlink"/>
          </w:rPr>
          <w:t xml:space="preserve">[12]</w:t>
        </w:r>
      </w:hyperlink>
    </w:p>
    <w:p>
      <w:pPr>
        <w:pStyle w:val="BodyText"/>
      </w:pPr>
      <w:r>
        <w:t xml:space="preserve">По исполнению ордеров контур должен быть</w:t>
      </w:r>
      <w:r>
        <w:t xml:space="preserve"> </w:t>
      </w:r>
      <w:r>
        <w:rPr>
          <w:b/>
          <w:bCs/>
        </w:rPr>
        <w:t xml:space="preserve">идемпотентным и журналируемым</w:t>
      </w:r>
      <w:r>
        <w:t xml:space="preserve">. Метод</w:t>
      </w:r>
      <w:r>
        <w:t xml:space="preserve"> </w:t>
      </w:r>
      <w:r>
        <w:rPr>
          <w:rStyle w:val="VerbatimChar"/>
        </w:rPr>
        <w:t xml:space="preserve">PostOrder</w:t>
      </w:r>
      <w:r>
        <w:t xml:space="preserve"> </w:t>
      </w:r>
      <w:r>
        <w:t xml:space="preserve">требует клиентский</w:t>
      </w:r>
      <w:r>
        <w:t xml:space="preserve"> </w:t>
      </w:r>
      <w:r>
        <w:rPr>
          <w:rStyle w:val="VerbatimChar"/>
        </w:rPr>
        <w:t xml:space="preserve">orderId</w:t>
      </w:r>
      <w:r>
        <w:t xml:space="preserve"> </w:t>
      </w:r>
      <w:r>
        <w:t xml:space="preserve">в формате UID именно «для целей идемпотентности»; далее статус заявки можно получать через</w:t>
      </w:r>
      <w:r>
        <w:t xml:space="preserve"> </w:t>
      </w:r>
      <w:r>
        <w:rPr>
          <w:rStyle w:val="VerbatimChar"/>
        </w:rPr>
        <w:t xml:space="preserve">GetOrderState</w:t>
      </w:r>
      <w:r>
        <w:t xml:space="preserve">, причём там есть различие между биржевым идентификатором и клиентским ключом идемпотентности (</w:t>
      </w:r>
      <w:r>
        <w:rPr>
          <w:rStyle w:val="VerbatimChar"/>
        </w:rPr>
        <w:t xml:space="preserve">ORDER_ID_TYPE_EXCHANGE</w:t>
      </w:r>
      <w:r>
        <w:t xml:space="preserve"> </w:t>
      </w:r>
      <w:r>
        <w:t xml:space="preserve">/</w:t>
      </w:r>
      <w:r>
        <w:t xml:space="preserve"> </w:t>
      </w:r>
      <w:r>
        <w:rPr>
          <w:rStyle w:val="VerbatimChar"/>
        </w:rPr>
        <w:t xml:space="preserve">ORDER_ID_TYPE_REQUEST</w:t>
      </w:r>
      <w:r>
        <w:t xml:space="preserve">). Это очень удобная основа для правильной архитектуры: сохраняете в БД и свой</w:t>
      </w:r>
      <w:r>
        <w:t xml:space="preserve"> </w:t>
      </w:r>
      <w:r>
        <w:rPr>
          <w:rStyle w:val="VerbatimChar"/>
        </w:rPr>
        <w:t xml:space="preserve">request_order_id</w:t>
      </w:r>
      <w:r>
        <w:t xml:space="preserve">, и полученный</w:t>
      </w:r>
      <w:r>
        <w:t xml:space="preserve"> </w:t>
      </w:r>
      <w:r>
        <w:rPr>
          <w:rStyle w:val="VerbatimChar"/>
        </w:rPr>
        <w:t xml:space="preserve">exchange_order_id</w:t>
      </w:r>
      <w:r>
        <w:t xml:space="preserve">, а затем строите reconciliation не по строкам логов, а по строгим сущностям. Для стоп-логики у брокера есть отдельный сервис</w:t>
      </w:r>
      <w:r>
        <w:t xml:space="preserve"> </w:t>
      </w:r>
      <w:r>
        <w:rPr>
          <w:rStyle w:val="VerbatimChar"/>
        </w:rPr>
        <w:t xml:space="preserve">PostStopOrder</w:t>
      </w:r>
      <w:r>
        <w:t xml:space="preserve"> </w:t>
      </w:r>
      <w:r>
        <w:t xml:space="preserve">со</w:t>
      </w:r>
      <w:r>
        <w:t xml:space="preserve"> </w:t>
      </w:r>
      <w:r>
        <w:rPr>
          <w:rStyle w:val="VerbatimChar"/>
        </w:rPr>
        <w:t xml:space="preserve">stop-loss</w:t>
      </w:r>
      <w:r>
        <w:t xml:space="preserve">,</w:t>
      </w:r>
      <w:r>
        <w:t xml:space="preserve"> </w:t>
      </w:r>
      <w:r>
        <w:rPr>
          <w:rStyle w:val="VerbatimChar"/>
        </w:rPr>
        <w:t xml:space="preserve">take-profit</w:t>
      </w:r>
      <w:r>
        <w:t xml:space="preserve">,</w:t>
      </w:r>
      <w:r>
        <w:t xml:space="preserve"> </w:t>
      </w:r>
      <w:r>
        <w:rPr>
          <w:rStyle w:val="VerbatimChar"/>
        </w:rPr>
        <w:t xml:space="preserve">stop-limit</w:t>
      </w:r>
      <w:r>
        <w:t xml:space="preserve"> </w:t>
      </w:r>
      <w:r>
        <w:t xml:space="preserve">и даже</w:t>
      </w:r>
      <w:r>
        <w:t xml:space="preserve"> </w:t>
      </w:r>
      <w:r>
        <w:rPr>
          <w:rStyle w:val="VerbatimChar"/>
        </w:rPr>
        <w:t xml:space="preserve">trailing</w:t>
      </w:r>
      <w:r>
        <w:t xml:space="preserve">-режимами — то есть stop-механику не нужно изобретать вручную поверх polling.</w:t>
      </w:r>
      <w:r>
        <w:t xml:space="preserve"> </w:t>
      </w:r>
      <w:hyperlink r:id="rId33">
        <w:r>
          <w:rPr>
            <w:rStyle w:val="Hyperlink"/>
          </w:rPr>
          <w:t xml:space="preserve">[13]</w:t>
        </w:r>
      </w:hyperlink>
    </w:p>
    <w:p>
      <w:pPr>
        <w:pStyle w:val="BodyText"/>
      </w:pPr>
      <w:r>
        <w:t xml:space="preserve">Для потоков пользовательских ордеров в контуре лучше опираться на</w:t>
      </w:r>
      <w:r>
        <w:t xml:space="preserve"> </w:t>
      </w:r>
      <w:r>
        <w:rPr>
          <w:rStyle w:val="VerbatimChar"/>
          <w:b/>
          <w:bCs/>
        </w:rPr>
        <w:t xml:space="preserve">OrderStateStream</w:t>
      </w:r>
      <w:r>
        <w:t xml:space="preserve">, а не на старую ленту сделок. На WebSocket-странице T‑Invest прямо указано, что старый</w:t>
      </w:r>
      <w:r>
        <w:t xml:space="preserve"> </w:t>
      </w:r>
      <w:r>
        <w:rPr>
          <w:rStyle w:val="VerbatimChar"/>
        </w:rPr>
        <w:t xml:space="preserve">TradesStream</w:t>
      </w:r>
      <w:r>
        <w:t xml:space="preserve"> </w:t>
      </w:r>
      <w:r>
        <w:t xml:space="preserve">помечен как deprecated, а вместо него рекомендуется использовать стрим заявок, который и быстрее, и стабильнее, и несёт более полную информацию по заявкам и сделкам. Следовательно, в вашем проекте источником истины по исполнению должен быть именно</w:t>
      </w:r>
      <w:r>
        <w:t xml:space="preserve"> </w:t>
      </w:r>
      <w:r>
        <w:rPr>
          <w:rStyle w:val="VerbatimChar"/>
        </w:rPr>
        <w:t xml:space="preserve">OrderStateStream</w:t>
      </w:r>
      <w:r>
        <w:t xml:space="preserve">, а не отдельная «лента сделок».</w:t>
      </w:r>
      <w:r>
        <w:t xml:space="preserve"> </w:t>
      </w:r>
      <w:hyperlink r:id="rId34">
        <w:r>
          <w:rPr>
            <w:rStyle w:val="Hyperlink"/>
          </w:rPr>
          <w:t xml:space="preserve">[14]</w:t>
        </w:r>
      </w:hyperlink>
    </w:p>
    <w:p>
      <w:pPr>
        <w:pStyle w:val="BodyText"/>
      </w:pPr>
      <w:r>
        <w:t xml:space="preserve">Слой API и фронтенда я бы сделал в модели</w:t>
      </w:r>
      <w:r>
        <w:t xml:space="preserve"> </w:t>
      </w:r>
      <w:r>
        <w:rPr>
          <w:b/>
          <w:bCs/>
        </w:rPr>
        <w:t xml:space="preserve">BFF</w:t>
      </w:r>
      <w:r>
        <w:t xml:space="preserve">: FastAPI отдаёт REST для чтения/изменения конфигурации, запуска/остановки робота, просмотра отчётов, а live-обновления на фронт идут через WebSocket. FastAPI в документации прямо рассматривает production-сценарий, где frontend построен на современном фреймворке вроде Vue, а WebSocket используется как коммуникационный канал к backend. Для вашего UI это означает очень понятную схему: Vue 3 в dark theme получает по REST «снимки» и список сущностей, а по WebSocket — live feed по текущей сессии, свечам, сигналам, ордерам, статусам и рисковым событиям.</w:t>
      </w:r>
      <w:r>
        <w:t xml:space="preserve"> </w:t>
      </w:r>
      <w:hyperlink r:id="rId35">
        <w:r>
          <w:rPr>
            <w:rStyle w:val="Hyperlink"/>
          </w:rPr>
          <w:t xml:space="preserve">[15]</w:t>
        </w:r>
      </w:hyperlink>
    </w:p>
    <w:p>
      <w:pPr>
        <w:pStyle w:val="BodyText"/>
      </w:pPr>
      <w:r>
        <w:t xml:space="preserve">С точки зрения секретов и доступа я рекомендую</w:t>
      </w:r>
      <w:r>
        <w:t xml:space="preserve"> </w:t>
      </w:r>
      <w:r>
        <w:rPr>
          <w:b/>
          <w:bCs/>
        </w:rPr>
        <w:t xml:space="preserve">не хранить API-ключи ни в БД, ни в</w:t>
      </w:r>
      <w:r>
        <w:rPr>
          <w:b/>
          <w:bCs/>
        </w:rPr>
        <w:t xml:space="preserve"> </w:t>
      </w:r>
      <w:r>
        <w:rPr>
          <w:rStyle w:val="VerbatimChar"/>
          <w:b/>
          <w:bCs/>
        </w:rPr>
        <w:t xml:space="preserve">.env</w:t>
      </w:r>
      <w:r>
        <w:rPr>
          <w:b/>
          <w:bCs/>
        </w:rPr>
        <w:t xml:space="preserve"> </w:t>
      </w:r>
      <w:r>
        <w:rPr>
          <w:b/>
          <w:bCs/>
        </w:rPr>
        <w:t xml:space="preserve">в production</w:t>
      </w:r>
      <w:r>
        <w:t xml:space="preserve">, а использовать Docker Compose secrets, которые монтируются в контейнеры как файлы в</w:t>
      </w:r>
      <w:r>
        <w:t xml:space="preserve"> </w:t>
      </w:r>
      <w:r>
        <w:rPr>
          <w:rStyle w:val="VerbatimChar"/>
        </w:rPr>
        <w:t xml:space="preserve">/run/secrets/&lt;name&gt;</w:t>
      </w:r>
      <w:r>
        <w:t xml:space="preserve">. Для самой модели доступа T‑Invest даёт несколько типов токенов — read-only, full-access, transfer-access, а также токены с доступом к конкретному счёту. Для робота это позволяет сделать хорошую схему: один full-access token только на нужный брокерский счёт для</w:t>
      </w:r>
      <w:r>
        <w:t xml:space="preserve"> </w:t>
      </w:r>
      <w:r>
        <w:rPr>
          <w:rStyle w:val="VerbatimChar"/>
        </w:rPr>
        <w:t xml:space="preserve">trade-core</w:t>
      </w:r>
      <w:r>
        <w:t xml:space="preserve">, отдельный read-only token для аналитических задач и мониторинга, плюс alert на срок жизни токена, потому что Т‑Invest указывает срок его жизни как три месяца с даты последнего использования. В тот же security-блок логично добавить обязательную установку сертификатов НУЦ Минцифры РФ в контейнеры, потому что брокер прямо перечисляет проблемы TLS/SSL как типовую причину неработающего API-доступа.</w:t>
      </w:r>
      <w:r>
        <w:t xml:space="preserve"> </w:t>
      </w:r>
      <w:hyperlink r:id="rId36">
        <w:r>
          <w:rPr>
            <w:rStyle w:val="Hyperlink"/>
          </w:rPr>
          <w:t xml:space="preserve">[16]</w:t>
        </w:r>
      </w:hyperlink>
    </w:p>
    <w:p>
      <w:pPr>
        <w:pStyle w:val="BodyText"/>
      </w:pPr>
      <w:r>
        <w:t xml:space="preserve">Отдельно я бы жёстко логировал служебные заголовки T‑Invest:</w:t>
      </w:r>
      <w:r>
        <w:t xml:space="preserve"> </w:t>
      </w:r>
      <w:r>
        <w:rPr>
          <w:rStyle w:val="VerbatimChar"/>
        </w:rPr>
        <w:t xml:space="preserve">x-tracking-id</w:t>
      </w:r>
      <w:r>
        <w:t xml:space="preserve"> </w:t>
      </w:r>
      <w:r>
        <w:t xml:space="preserve">и</w:t>
      </w:r>
      <w:r>
        <w:t xml:space="preserve"> </w:t>
      </w:r>
      <w:r>
        <w:rPr>
          <w:rStyle w:val="VerbatimChar"/>
        </w:rPr>
        <w:t xml:space="preserve">x-app-name</w:t>
      </w:r>
      <w:r>
        <w:t xml:space="preserve">. Документация указывает, что</w:t>
      </w:r>
      <w:r>
        <w:t xml:space="preserve"> </w:t>
      </w:r>
      <w:r>
        <w:rPr>
          <w:rStyle w:val="VerbatimChar"/>
        </w:rPr>
        <w:t xml:space="preserve">x-tracking-id</w:t>
      </w:r>
      <w:r>
        <w:t xml:space="preserve"> </w:t>
      </w:r>
      <w:r>
        <w:t xml:space="preserve">добавляется в unary-ответы и нужен поддержке брокера для разбора инцидентов, а</w:t>
      </w:r>
      <w:r>
        <w:t xml:space="preserve"> </w:t>
      </w:r>
      <w:r>
        <w:rPr>
          <w:rStyle w:val="VerbatimChar"/>
        </w:rPr>
        <w:t xml:space="preserve">x-app-name</w:t>
      </w:r>
      <w:r>
        <w:t xml:space="preserve"> </w:t>
      </w:r>
      <w:r>
        <w:t xml:space="preserve">можно передавать для идентификации клиента. Плюс на тех unary-методах, где доступны лимитные заголовки, нужно собирать</w:t>
      </w:r>
      <w:r>
        <w:t xml:space="preserve"> </w:t>
      </w:r>
      <w:r>
        <w:rPr>
          <w:rStyle w:val="VerbatimChar"/>
        </w:rPr>
        <w:t xml:space="preserve">x-ratelimit-limit</w:t>
      </w:r>
      <w:r>
        <w:t xml:space="preserve">,</w:t>
      </w:r>
      <w:r>
        <w:t xml:space="preserve"> </w:t>
      </w:r>
      <w:r>
        <w:rPr>
          <w:rStyle w:val="VerbatimChar"/>
        </w:rPr>
        <w:t xml:space="preserve">x-ratelimit-remaining</w:t>
      </w:r>
      <w:r>
        <w:t xml:space="preserve"> </w:t>
      </w:r>
      <w:r>
        <w:t xml:space="preserve">и</w:t>
      </w:r>
      <w:r>
        <w:t xml:space="preserve"> </w:t>
      </w:r>
      <w:r>
        <w:rPr>
          <w:rStyle w:val="VerbatimChar"/>
        </w:rPr>
        <w:t xml:space="preserve">x-ratelimit-reset</w:t>
      </w:r>
      <w:r>
        <w:t xml:space="preserve"> </w:t>
      </w:r>
      <w:r>
        <w:t xml:space="preserve">— это сильно упрощает мониторинг деградации до того, как робот упрётся в 429/RESOURCE_EXHAUSTED.</w:t>
      </w:r>
      <w:r>
        <w:t xml:space="preserve"> </w:t>
      </w:r>
      <w:hyperlink r:id="rId28">
        <w:r>
          <w:rPr>
            <w:rStyle w:val="Hyperlink"/>
          </w:rPr>
          <w:t xml:space="preserve">[17]</w:t>
        </w:r>
      </w:hyperlink>
    </w:p>
    <w:bookmarkEnd w:id="37"/>
    <w:bookmarkStart w:id="38" w:name="сессионная-оркестрация"/>
    <w:p>
      <w:pPr>
        <w:pStyle w:val="Heading2"/>
      </w:pPr>
      <w:r>
        <w:t xml:space="preserve">Сессионная оркестрация</w:t>
      </w:r>
    </w:p>
    <w:p>
      <w:pPr>
        <w:pStyle w:val="FirstParagraph"/>
      </w:pPr>
      <w:r>
        <w:t xml:space="preserve">Сессионный менеджер должен быть не «таблицей констант в коде», а</w:t>
      </w:r>
      <w:r>
        <w:t xml:space="preserve"> </w:t>
      </w:r>
      <w:r>
        <w:rPr>
          <w:b/>
          <w:bCs/>
        </w:rPr>
        <w:t xml:space="preserve">реальным оркестратором торгового календаря</w:t>
      </w:r>
      <w:r>
        <w:t xml:space="preserve">. На каждый день он сначала забирает расписание через</w:t>
      </w:r>
      <w:r>
        <w:t xml:space="preserve"> </w:t>
      </w:r>
      <w:r>
        <w:rPr>
          <w:rStyle w:val="VerbatimChar"/>
        </w:rPr>
        <w:t xml:space="preserve">TradingSchedules</w:t>
      </w:r>
      <w:r>
        <w:t xml:space="preserve">, затем в реальном времени подтверждает возможность торговли по инструменту через</w:t>
      </w:r>
      <w:r>
        <w:t xml:space="preserve"> </w:t>
      </w:r>
      <w:r>
        <w:rPr>
          <w:rStyle w:val="VerbatimChar"/>
        </w:rPr>
        <w:t xml:space="preserve">GetTradingStatus</w:t>
      </w:r>
      <w:r>
        <w:t xml:space="preserve"> </w:t>
      </w:r>
      <w:r>
        <w:t xml:space="preserve">или</w:t>
      </w:r>
      <w:r>
        <w:t xml:space="preserve"> </w:t>
      </w:r>
      <w:r>
        <w:rPr>
          <w:rStyle w:val="VerbatimChar"/>
        </w:rPr>
        <w:t xml:space="preserve">Info</w:t>
      </w:r>
      <w:r>
        <w:t xml:space="preserve">-подписку в market data stream. Это важно не только из‑за базового расписания, но и из‑за субстатусов рынка, технических пауз, аукционов, дискретных аукционов и иных нештатных фаз. Если эта логика сделана плохо, вы будете ловить не только логические ошибки, но и брокерские ошибки вроде</w:t>
      </w:r>
      <w:r>
        <w:t xml:space="preserve"> </w:t>
      </w:r>
      <w:r>
        <w:rPr>
          <w:rStyle w:val="VerbatimChar"/>
        </w:rPr>
        <w:t xml:space="preserve">inappropriate trading session</w:t>
      </w:r>
      <w:r>
        <w:t xml:space="preserve">.</w:t>
      </w:r>
      <w:r>
        <w:t xml:space="preserve"> </w:t>
      </w:r>
      <w:hyperlink r:id="rId32">
        <w:r>
          <w:rPr>
            <w:rStyle w:val="Hyperlink"/>
          </w:rPr>
          <w:t xml:space="preserve">[18]</w:t>
        </w:r>
      </w:hyperlink>
    </w:p>
    <w:p>
      <w:pPr>
        <w:pStyle w:val="BodyText"/>
      </w:pPr>
      <w:r>
        <w:t xml:space="preserve">Я предлагаю такую доменную модель: у вас есть</w:t>
      </w:r>
      <w:r>
        <w:t xml:space="preserve"> </w:t>
      </w:r>
      <w:r>
        <w:rPr>
          <w:b/>
          <w:bCs/>
        </w:rPr>
        <w:t xml:space="preserve">exchange session</w:t>
      </w:r>
      <w:r>
        <w:t xml:space="preserve"> </w:t>
      </w:r>
      <w:r>
        <w:t xml:space="preserve">и внутри неё</w:t>
      </w:r>
      <w:r>
        <w:t xml:space="preserve"> </w:t>
      </w:r>
      <w:r>
        <w:rPr>
          <w:b/>
          <w:bCs/>
        </w:rPr>
        <w:t xml:space="preserve">hourly micro-session</w:t>
      </w:r>
      <w:r>
        <w:t xml:space="preserve">. Exchange session — это</w:t>
      </w:r>
      <w:r>
        <w:t xml:space="preserve"> </w:t>
      </w:r>
      <w:r>
        <w:rPr>
          <w:rStyle w:val="VerbatimChar"/>
        </w:rPr>
        <w:t xml:space="preserve">weekend</w:t>
      </w:r>
      <w:r>
        <w:t xml:space="preserve">,</w:t>
      </w:r>
      <w:r>
        <w:t xml:space="preserve"> </w:t>
      </w:r>
      <w:r>
        <w:rPr>
          <w:rStyle w:val="VerbatimChar"/>
        </w:rPr>
        <w:t xml:space="preserve">morning</w:t>
      </w:r>
      <w:r>
        <w:t xml:space="preserve">,</w:t>
      </w:r>
      <w:r>
        <w:t xml:space="preserve"> </w:t>
      </w:r>
      <w:r>
        <w:rPr>
          <w:rStyle w:val="VerbatimChar"/>
        </w:rPr>
        <w:t xml:space="preserve">main</w:t>
      </w:r>
      <w:r>
        <w:t xml:space="preserve">,</w:t>
      </w:r>
      <w:r>
        <w:t xml:space="preserve"> </w:t>
      </w:r>
      <w:r>
        <w:rPr>
          <w:rStyle w:val="VerbatimChar"/>
        </w:rPr>
        <w:t xml:space="preserve">evening</w:t>
      </w:r>
      <w:r>
        <w:t xml:space="preserve">. Hourly micro-session — это искусственная доменная сущность уровня</w:t>
      </w:r>
      <w:r>
        <w:t xml:space="preserve"> </w:t>
      </w:r>
      <w:r>
        <w:rPr>
          <w:rStyle w:val="VerbatimChar"/>
        </w:rPr>
        <w:t xml:space="preserve">2026-06-15T07</w:t>
      </w:r>
      <w:r>
        <w:t xml:space="preserve">,</w:t>
      </w:r>
      <w:r>
        <w:t xml:space="preserve"> </w:t>
      </w:r>
      <w:r>
        <w:rPr>
          <w:rStyle w:val="VerbatimChar"/>
        </w:rPr>
        <w:t xml:space="preserve">2026-06-15T08</w:t>
      </w:r>
      <w:r>
        <w:t xml:space="preserve"> </w:t>
      </w:r>
      <w:r>
        <w:t xml:space="preserve">и так далее в часовом поясе биржи. Для стратегии это удобно: вы получаете естественные батчи для отчётности и калибровки, но не ломаете непрерывность торгового контура. При этом микро-сессии должны создаваться только в фазах непрерывной торговли; opening/closing auctions и межсессионные паузы надо выделять отдельно и не смешивать с обычным часовым trading bucket. Основание для этого — официальная разбивка Мосбиржи на аукционные и непрерывные периоды, а также разный набор допустимых поручений в разных торговых статусах.</w:t>
      </w:r>
      <w:r>
        <w:t xml:space="preserve"> </w:t>
      </w:r>
      <w:hyperlink r:id="rId25">
        <w:r>
          <w:rPr>
            <w:rStyle w:val="Hyperlink"/>
          </w:rPr>
          <w:t xml:space="preserve">[19]</w:t>
        </w:r>
      </w:hyperlink>
    </w:p>
    <w:p>
      <w:pPr>
        <w:pStyle w:val="BodyText"/>
      </w:pPr>
      <w:r>
        <w:t xml:space="preserve">Для практической работы я бы ввёл такую политику поведения на границах часа и на границах биржевых фаз:</w:t>
      </w:r>
    </w:p>
    <w:p>
      <w:pPr>
        <w:pStyle w:val="Compact"/>
        <w:numPr>
          <w:ilvl w:val="0"/>
          <w:numId w:val="1002"/>
        </w:numPr>
      </w:pPr>
      <w:r>
        <w:t xml:space="preserve">за 60–90 секунд до границы микро-сессии —</w:t>
      </w:r>
      <w:r>
        <w:t xml:space="preserve"> </w:t>
      </w:r>
      <w:r>
        <w:rPr>
          <w:b/>
          <w:bCs/>
        </w:rPr>
        <w:t xml:space="preserve">freeze new entries</w:t>
      </w:r>
      <w:r>
        <w:t xml:space="preserve">;</w:t>
      </w:r>
    </w:p>
    <w:p>
      <w:pPr>
        <w:pStyle w:val="Compact"/>
        <w:numPr>
          <w:ilvl w:val="0"/>
          <w:numId w:val="1002"/>
        </w:numPr>
      </w:pPr>
      <w:r>
        <w:t xml:space="preserve">существующие заявки либо дожидаются исполнения по правилам стратегии, либо переводятся в controlled cancel/replace;</w:t>
      </w:r>
    </w:p>
    <w:p>
      <w:pPr>
        <w:pStyle w:val="Compact"/>
        <w:numPr>
          <w:ilvl w:val="0"/>
          <w:numId w:val="1002"/>
        </w:numPr>
      </w:pPr>
      <w:r>
        <w:t xml:space="preserve">по границе часа пишется snapshot состояния: позиции, активные заявки, накопленные комиссии, последняя закрытая свеча, состояние контура;</w:t>
      </w:r>
    </w:p>
    <w:p>
      <w:pPr>
        <w:pStyle w:val="Compact"/>
        <w:numPr>
          <w:ilvl w:val="0"/>
          <w:numId w:val="1002"/>
        </w:numPr>
      </w:pPr>
      <w:r>
        <w:t xml:space="preserve">сразу после snapshot создаётся сущность</w:t>
      </w:r>
      <w:r>
        <w:t xml:space="preserve"> </w:t>
      </w:r>
      <w:r>
        <w:rPr>
          <w:rStyle w:val="VerbatimChar"/>
        </w:rPr>
        <w:t xml:space="preserve">session_run_closed</w:t>
      </w:r>
      <w:r>
        <w:t xml:space="preserve">;</w:t>
      </w:r>
    </w:p>
    <w:p>
      <w:pPr>
        <w:pStyle w:val="Compact"/>
        <w:numPr>
          <w:ilvl w:val="0"/>
          <w:numId w:val="1002"/>
        </w:numPr>
      </w:pPr>
      <w:r>
        <w:t xml:space="preserve">фоновой задачей запускается сбор часового отчёта;</w:t>
      </w:r>
    </w:p>
    <w:p>
      <w:pPr>
        <w:pStyle w:val="Compact"/>
        <w:numPr>
          <w:ilvl w:val="0"/>
          <w:numId w:val="1002"/>
        </w:numPr>
      </w:pPr>
      <w:r>
        <w:t xml:space="preserve">новая микро-сессия стартует мгновенно, без рестарта</w:t>
      </w:r>
      <w:r>
        <w:t xml:space="preserve"> </w:t>
      </w:r>
      <w:r>
        <w:rPr>
          <w:rStyle w:val="VerbatimChar"/>
        </w:rPr>
        <w:t xml:space="preserve">trade-core</w:t>
      </w:r>
      <w:r>
        <w:t xml:space="preserve">.</w:t>
      </w:r>
    </w:p>
    <w:p>
      <w:pPr>
        <w:pStyle w:val="FirstParagraph"/>
      </w:pPr>
      <w:r>
        <w:t xml:space="preserve">Такой подход даёт вам и чистые логические срезы для анализа, и отсутствие «дырок» в рыночных подписках.</w:t>
      </w:r>
      <w:r>
        <w:t xml:space="preserve"> </w:t>
      </w:r>
      <w:hyperlink r:id="rId23">
        <w:r>
          <w:rPr>
            <w:rStyle w:val="Hyperlink"/>
          </w:rPr>
          <w:t xml:space="preserve">[20]</w:t>
        </w:r>
      </w:hyperlink>
    </w:p>
    <w:p>
      <w:pPr>
        <w:pStyle w:val="BodyText"/>
      </w:pPr>
      <w:r>
        <w:t xml:space="preserve">Отдельно рекомендую заложить</w:t>
      </w:r>
      <w:r>
        <w:t xml:space="preserve"> </w:t>
      </w:r>
      <w:r>
        <w:rPr>
          <w:b/>
          <w:bCs/>
        </w:rPr>
        <w:t xml:space="preserve">разные наборы параметров стратегии по типам сессий</w:t>
      </w:r>
      <w:r>
        <w:t xml:space="preserve">: как минимум</w:t>
      </w:r>
      <w:r>
        <w:t xml:space="preserve"> </w:t>
      </w:r>
      <w:r>
        <w:rPr>
          <w:rStyle w:val="VerbatimChar"/>
        </w:rPr>
        <w:t xml:space="preserve">weekday_morning</w:t>
      </w:r>
      <w:r>
        <w:t xml:space="preserve">,</w:t>
      </w:r>
      <w:r>
        <w:t xml:space="preserve"> </w:t>
      </w:r>
      <w:r>
        <w:rPr>
          <w:rStyle w:val="VerbatimChar"/>
        </w:rPr>
        <w:t xml:space="preserve">weekday_main</w:t>
      </w:r>
      <w:r>
        <w:t xml:space="preserve">,</w:t>
      </w:r>
      <w:r>
        <w:t xml:space="preserve"> </w:t>
      </w:r>
      <w:r>
        <w:rPr>
          <w:rStyle w:val="VerbatimChar"/>
        </w:rPr>
        <w:t xml:space="preserve">weekday_evening</w:t>
      </w:r>
      <w:r>
        <w:t xml:space="preserve">,</w:t>
      </w:r>
      <w:r>
        <w:t xml:space="preserve"> </w:t>
      </w:r>
      <w:r>
        <w:rPr>
          <w:rStyle w:val="VerbatimChar"/>
        </w:rPr>
        <w:t xml:space="preserve">weekend</w:t>
      </w:r>
      <w:r>
        <w:t xml:space="preserve">. На выходных Мосбиржа сама описывает иной режим рынка с узкими ценовыми границами и без дискретного аукциона, а по торговым статусам у Т‑Invest видно, что доступность рыночных и лимитных поручений зависит от текущей подфазы. Следовательно, единый «магический набор параметров на все случаи» здесь будет архитектурной ошибкой уже на уровне модели данных. Лучше сразу сделать versioned strategy configs по session template.</w:t>
      </w:r>
      <w:r>
        <w:t xml:space="preserve"> </w:t>
      </w:r>
      <w:hyperlink r:id="rId26">
        <w:r>
          <w:rPr>
            <w:rStyle w:val="Hyperlink"/>
          </w:rPr>
          <w:t xml:space="preserve">[21]</w:t>
        </w:r>
      </w:hyperlink>
    </w:p>
    <w:p>
      <w:pPr>
        <w:pStyle w:val="BodyText"/>
      </w:pPr>
      <w:r>
        <w:t xml:space="preserve">Если говорить прямо о вашем пожелании «каждую часть останавливать», то в live-торговле я бы этого</w:t>
      </w:r>
      <w:r>
        <w:t xml:space="preserve"> </w:t>
      </w:r>
      <w:r>
        <w:rPr>
          <w:b/>
          <w:bCs/>
        </w:rPr>
        <w:t xml:space="preserve">не делал для торгового ядра</w:t>
      </w:r>
      <w:r>
        <w:t xml:space="preserve">. Т‑Invest рекомендует асинхронную реализацию, health-check стримов, retry с экспоненциальной задержкой и восстановление после разрывов; разрывы могут вызываться сетью, перегрузкой клиента, отсутствием retry-логики и техработами. На этом фоне намеренный ежечасный stop/start контейнера — лишний источник сбоев. Если вам всё же нужен «режим регламентного перезапуска», делайте его только для stateless-компонентов вроде UI или report-worker, а</w:t>
      </w:r>
      <w:r>
        <w:t xml:space="preserve"> </w:t>
      </w:r>
      <w:r>
        <w:rPr>
          <w:rStyle w:val="VerbatimChar"/>
        </w:rPr>
        <w:t xml:space="preserve">trade-core</w:t>
      </w:r>
      <w:r>
        <w:t xml:space="preserve"> </w:t>
      </w:r>
      <w:r>
        <w:t xml:space="preserve">оставляйте долгоживущим. Альтернативный компромисс — запуск standby-инстанса и controlled switchover вне непрерывного торгового периода, но это уже следующий уровень зрелости.</w:t>
      </w:r>
      <w:r>
        <w:t xml:space="preserve"> </w:t>
      </w:r>
      <w:hyperlink r:id="rId23">
        <w:r>
          <w:rPr>
            <w:rStyle w:val="Hyperlink"/>
          </w:rPr>
          <w:t xml:space="preserve">[3]</w:t>
        </w:r>
      </w:hyperlink>
    </w:p>
    <w:p>
      <w:pPr>
        <w:pStyle w:val="BodyText"/>
      </w:pPr>
      <w:r>
        <w:t xml:space="preserve">На случай разрыва связи после восстановления контура нужно делать</w:t>
      </w:r>
      <w:r>
        <w:t xml:space="preserve"> </w:t>
      </w:r>
      <w:r>
        <w:rPr>
          <w:b/>
          <w:bCs/>
        </w:rPr>
        <w:t xml:space="preserve">gap recovery</w:t>
      </w:r>
      <w:r>
        <w:t xml:space="preserve">. Для свечных стратегий это означает дозапрос</w:t>
      </w:r>
      <w:r>
        <w:t xml:space="preserve"> </w:t>
      </w:r>
      <w:r>
        <w:rPr>
          <w:rStyle w:val="VerbatimChar"/>
        </w:rPr>
        <w:t xml:space="preserve">GetCandles</w:t>
      </w:r>
      <w:r>
        <w:t xml:space="preserve"> </w:t>
      </w:r>
      <w:r>
        <w:t xml:space="preserve">за период разрыва; для ордеров и состояний — сверку через</w:t>
      </w:r>
      <w:r>
        <w:t xml:space="preserve"> </w:t>
      </w:r>
      <w:r>
        <w:rPr>
          <w:rStyle w:val="VerbatimChar"/>
        </w:rPr>
        <w:t xml:space="preserve">GetOrderState</w:t>
      </w:r>
      <w:r>
        <w:t xml:space="preserve">/</w:t>
      </w:r>
      <w:r>
        <w:rPr>
          <w:rStyle w:val="VerbatimChar"/>
        </w:rPr>
        <w:t xml:space="preserve">GetOrders</w:t>
      </w:r>
      <w:r>
        <w:t xml:space="preserve"> </w:t>
      </w:r>
      <w:r>
        <w:t xml:space="preserve">и повторное построение позиции; для tape-based сценариев можно опционально использовать</w:t>
      </w:r>
      <w:r>
        <w:t xml:space="preserve"> </w:t>
      </w:r>
      <w:r>
        <w:rPr>
          <w:rStyle w:val="VerbatimChar"/>
        </w:rPr>
        <w:t xml:space="preserve">GetLastTrades</w:t>
      </w:r>
      <w:r>
        <w:t xml:space="preserve">, который гарантирует данные за последний час. Именно такая схема — стрим как primary transport + unary backfill как recovery-канал — полностью соответствует рекомендациям T‑Invest.</w:t>
      </w:r>
      <w:r>
        <w:t xml:space="preserve"> </w:t>
      </w:r>
      <w:hyperlink r:id="rId23">
        <w:r>
          <w:rPr>
            <w:rStyle w:val="Hyperlink"/>
          </w:rPr>
          <w:t xml:space="preserve">[22]</w:t>
        </w:r>
      </w:hyperlink>
    </w:p>
    <w:bookmarkEnd w:id="38"/>
    <w:bookmarkStart w:id="44" w:name="логирование-данные-и-отчётность"/>
    <w:p>
      <w:pPr>
        <w:pStyle w:val="Heading2"/>
      </w:pPr>
      <w:r>
        <w:t xml:space="preserve">Логирование, данные и отчётность</w:t>
      </w:r>
    </w:p>
    <w:p>
      <w:pPr>
        <w:pStyle w:val="FirstParagraph"/>
      </w:pPr>
      <w:r>
        <w:t xml:space="preserve">Логирование в этой системе должно быть</w:t>
      </w:r>
      <w:r>
        <w:t xml:space="preserve"> </w:t>
      </w:r>
      <w:r>
        <w:rPr>
          <w:b/>
          <w:bCs/>
        </w:rPr>
        <w:t xml:space="preserve">двухконтурным</w:t>
      </w:r>
      <w:r>
        <w:t xml:space="preserve">. Первый контур — технические логи приложения в JSON-формате. Python Logging Cookbook прямо описывает structured logging как нормальный сценарий использования стандартного</w:t>
      </w:r>
      <w:r>
        <w:t xml:space="preserve"> </w:t>
      </w:r>
      <w:r>
        <w:rPr>
          <w:rStyle w:val="VerbatimChar"/>
        </w:rPr>
        <w:t xml:space="preserve">logging</w:t>
      </w:r>
      <w:r>
        <w:t xml:space="preserve">, а не экзотику. Я бы не начинал с тяжёлого «зоопарка» логирующих библиотек: достаточно стандартного</w:t>
      </w:r>
      <w:r>
        <w:t xml:space="preserve"> </w:t>
      </w:r>
      <w:r>
        <w:rPr>
          <w:rStyle w:val="VerbatimChar"/>
        </w:rPr>
        <w:t xml:space="preserve">logging</w:t>
      </w:r>
      <w:r>
        <w:t xml:space="preserve">, JSON formatter и аккуратной схемы полей. При этом делать ставку именно на OpenTelemetry Logs как единственный продовый механизм я бы пока не советовал: в документации OpenTelemetry Python прямо оговорено, что Python logs SDK находится в experimental state. Поэтому правильный pragmatic choice сейчас —</w:t>
      </w:r>
      <w:r>
        <w:t xml:space="preserve"> </w:t>
      </w:r>
      <w:r>
        <w:rPr>
          <w:b/>
          <w:bCs/>
        </w:rPr>
        <w:t xml:space="preserve">JSON-логи через стандартный logging</w:t>
      </w:r>
      <w:r>
        <w:t xml:space="preserve">, а OpenTelemetry использовать прежде всего для traces и, при желании, расширять позднее.</w:t>
      </w:r>
      <w:r>
        <w:t xml:space="preserve"> </w:t>
      </w:r>
      <w:hyperlink r:id="rId39">
        <w:r>
          <w:rPr>
            <w:rStyle w:val="Hyperlink"/>
          </w:rPr>
          <w:t xml:space="preserve">[23]</w:t>
        </w:r>
      </w:hyperlink>
    </w:p>
    <w:p>
      <w:pPr>
        <w:pStyle w:val="BodyText"/>
      </w:pPr>
      <w:r>
        <w:t xml:space="preserve">В каждом лог-событии должны быть как минимум такие поля:</w:t>
      </w:r>
      <w:r>
        <w:t xml:space="preserve"> </w:t>
      </w:r>
      <w:r>
        <w:rPr>
          <w:rStyle w:val="VerbatimChar"/>
        </w:rPr>
        <w:t xml:space="preserve">ts_utc</w:t>
      </w:r>
      <w:r>
        <w:t xml:space="preserve">,</w:t>
      </w:r>
      <w:r>
        <w:t xml:space="preserve"> </w:t>
      </w:r>
      <w:r>
        <w:rPr>
          <w:rStyle w:val="VerbatimChar"/>
        </w:rPr>
        <w:t xml:space="preserve">exchange_tz_ts</w:t>
      </w:r>
      <w:r>
        <w:t xml:space="preserve">,</w:t>
      </w:r>
      <w:r>
        <w:t xml:space="preserve"> </w:t>
      </w:r>
      <w:r>
        <w:rPr>
          <w:rStyle w:val="VerbatimChar"/>
        </w:rPr>
        <w:t xml:space="preserve">level</w:t>
      </w:r>
      <w:r>
        <w:t xml:space="preserve">,</w:t>
      </w:r>
      <w:r>
        <w:t xml:space="preserve"> </w:t>
      </w:r>
      <w:r>
        <w:rPr>
          <w:rStyle w:val="VerbatimChar"/>
        </w:rPr>
        <w:t xml:space="preserve">service</w:t>
      </w:r>
      <w:r>
        <w:t xml:space="preserve">,</w:t>
      </w:r>
      <w:r>
        <w:t xml:space="preserve"> </w:t>
      </w:r>
      <w:r>
        <w:rPr>
          <w:rStyle w:val="VerbatimChar"/>
        </w:rPr>
        <w:t xml:space="preserve">session_type</w:t>
      </w:r>
      <w:r>
        <w:t xml:space="preserve">,</w:t>
      </w:r>
      <w:r>
        <w:t xml:space="preserve"> </w:t>
      </w:r>
      <w:r>
        <w:rPr>
          <w:rStyle w:val="VerbatimChar"/>
        </w:rPr>
        <w:t xml:space="preserve">micro_session_id</w:t>
      </w:r>
      <w:r>
        <w:t xml:space="preserve">,</w:t>
      </w:r>
      <w:r>
        <w:t xml:space="preserve"> </w:t>
      </w:r>
      <w:r>
        <w:rPr>
          <w:rStyle w:val="VerbatimChar"/>
        </w:rPr>
        <w:t xml:space="preserve">instrument_id</w:t>
      </w:r>
      <w:r>
        <w:t xml:space="preserve">,</w:t>
      </w:r>
      <w:r>
        <w:t xml:space="preserve"> </w:t>
      </w:r>
      <w:r>
        <w:rPr>
          <w:rStyle w:val="VerbatimChar"/>
        </w:rPr>
        <w:t xml:space="preserve">strategy_id</w:t>
      </w:r>
      <w:r>
        <w:t xml:space="preserve">,</w:t>
      </w:r>
      <w:r>
        <w:t xml:space="preserve"> </w:t>
      </w:r>
      <w:r>
        <w:rPr>
          <w:rStyle w:val="VerbatimChar"/>
        </w:rPr>
        <w:t xml:space="preserve">signal_id</w:t>
      </w:r>
      <w:r>
        <w:t xml:space="preserve">,</w:t>
      </w:r>
      <w:r>
        <w:t xml:space="preserve"> </w:t>
      </w:r>
      <w:r>
        <w:rPr>
          <w:rStyle w:val="VerbatimChar"/>
        </w:rPr>
        <w:t xml:space="preserve">order_intent_id</w:t>
      </w:r>
      <w:r>
        <w:t xml:space="preserve">,</w:t>
      </w:r>
      <w:r>
        <w:t xml:space="preserve"> </w:t>
      </w:r>
      <w:r>
        <w:rPr>
          <w:rStyle w:val="VerbatimChar"/>
        </w:rPr>
        <w:t xml:space="preserve">request_order_id</w:t>
      </w:r>
      <w:r>
        <w:t xml:space="preserve">,</w:t>
      </w:r>
      <w:r>
        <w:t xml:space="preserve"> </w:t>
      </w:r>
      <w:r>
        <w:rPr>
          <w:rStyle w:val="VerbatimChar"/>
        </w:rPr>
        <w:t xml:space="preserve">exchange_order_id</w:t>
      </w:r>
      <w:r>
        <w:t xml:space="preserve">,</w:t>
      </w:r>
      <w:r>
        <w:t xml:space="preserve"> </w:t>
      </w:r>
      <w:r>
        <w:rPr>
          <w:rStyle w:val="VerbatimChar"/>
        </w:rPr>
        <w:t xml:space="preserve">position_side</w:t>
      </w:r>
      <w:r>
        <w:t xml:space="preserve">,</w:t>
      </w:r>
      <w:r>
        <w:t xml:space="preserve"> </w:t>
      </w:r>
      <w:r>
        <w:rPr>
          <w:rStyle w:val="VerbatimChar"/>
        </w:rPr>
        <w:t xml:space="preserve">qty_lots</w:t>
      </w:r>
      <w:r>
        <w:t xml:space="preserve">,</w:t>
      </w:r>
      <w:r>
        <w:t xml:space="preserve"> </w:t>
      </w:r>
      <w:r>
        <w:rPr>
          <w:rStyle w:val="VerbatimChar"/>
        </w:rPr>
        <w:t xml:space="preserve">price</w:t>
      </w:r>
      <w:r>
        <w:t xml:space="preserve">,</w:t>
      </w:r>
      <w:r>
        <w:t xml:space="preserve"> </w:t>
      </w:r>
      <w:r>
        <w:rPr>
          <w:rStyle w:val="VerbatimChar"/>
        </w:rPr>
        <w:t xml:space="preserve">commission</w:t>
      </w:r>
      <w:r>
        <w:t xml:space="preserve">,</w:t>
      </w:r>
      <w:r>
        <w:t xml:space="preserve"> </w:t>
      </w:r>
      <w:r>
        <w:rPr>
          <w:rStyle w:val="VerbatimChar"/>
        </w:rPr>
        <w:t xml:space="preserve">latency_ms</w:t>
      </w:r>
      <w:r>
        <w:t xml:space="preserve">,</w:t>
      </w:r>
      <w:r>
        <w:t xml:space="preserve"> </w:t>
      </w:r>
      <w:r>
        <w:rPr>
          <w:rStyle w:val="VerbatimChar"/>
        </w:rPr>
        <w:t xml:space="preserve">tracking_id</w:t>
      </w:r>
      <w:r>
        <w:t xml:space="preserve">,</w:t>
      </w:r>
      <w:r>
        <w:t xml:space="preserve"> </w:t>
      </w:r>
      <w:r>
        <w:rPr>
          <w:rStyle w:val="VerbatimChar"/>
        </w:rPr>
        <w:t xml:space="preserve">rate_limit_remaining</w:t>
      </w:r>
      <w:r>
        <w:t xml:space="preserve">,</w:t>
      </w:r>
      <w:r>
        <w:t xml:space="preserve"> </w:t>
      </w:r>
      <w:r>
        <w:rPr>
          <w:rStyle w:val="VerbatimChar"/>
        </w:rPr>
        <w:t xml:space="preserve">event_type</w:t>
      </w:r>
      <w:r>
        <w:t xml:space="preserve">,</w:t>
      </w:r>
      <w:r>
        <w:t xml:space="preserve"> </w:t>
      </w:r>
      <w:r>
        <w:rPr>
          <w:rStyle w:val="VerbatimChar"/>
        </w:rPr>
        <w:t xml:space="preserve">error_code</w:t>
      </w:r>
      <w:r>
        <w:t xml:space="preserve">,</w:t>
      </w:r>
      <w:r>
        <w:t xml:space="preserve"> </w:t>
      </w:r>
      <w:r>
        <w:rPr>
          <w:rStyle w:val="VerbatimChar"/>
        </w:rPr>
        <w:t xml:space="preserve">error_message</w:t>
      </w:r>
      <w:r>
        <w:t xml:space="preserve">. Именно такой набор позволяет потом не «читать лог глазами», а строить нормальные выборки: от</w:t>
      </w:r>
      <w:r>
        <w:t xml:space="preserve"> </w:t>
      </w:r>
      <w:r>
        <w:rPr>
          <w:rStyle w:val="VerbatimChar"/>
        </w:rPr>
        <w:t xml:space="preserve">все отклонённые заявки в weekend-сессии по GAZP</w:t>
      </w:r>
      <w:r>
        <w:t xml:space="preserve"> </w:t>
      </w:r>
      <w:r>
        <w:t xml:space="preserve">до</w:t>
      </w:r>
      <w:r>
        <w:t xml:space="preserve"> </w:t>
      </w:r>
      <w:r>
        <w:rPr>
          <w:rStyle w:val="VerbatimChar"/>
        </w:rPr>
        <w:t xml:space="preserve">все случаи candle lag &gt; 2 сек в вечерней сессии</w:t>
      </w:r>
      <w:r>
        <w:t xml:space="preserve">. Поддерживающим основанием для этого служат и</w:t>
      </w:r>
      <w:r>
        <w:t xml:space="preserve"> </w:t>
      </w:r>
      <w:r>
        <w:rPr>
          <w:rStyle w:val="VerbatimChar"/>
        </w:rPr>
        <w:t xml:space="preserve">x-tracking-id</w:t>
      </w:r>
      <w:r>
        <w:t xml:space="preserve">, и лимитные заголовки, и брокерская идемпотентность ордеров.</w:t>
      </w:r>
      <w:r>
        <w:t xml:space="preserve"> </w:t>
      </w:r>
      <w:hyperlink r:id="rId28">
        <w:r>
          <w:rPr>
            <w:rStyle w:val="Hyperlink"/>
          </w:rPr>
          <w:t xml:space="preserve">[24]</w:t>
        </w:r>
      </w:hyperlink>
    </w:p>
    <w:p>
      <w:pPr>
        <w:pStyle w:val="BodyText"/>
      </w:pPr>
      <w:r>
        <w:t xml:space="preserve">Хранить</w:t>
      </w:r>
      <w:r>
        <w:t xml:space="preserve"> </w:t>
      </w:r>
      <w:r>
        <w:rPr>
          <w:b/>
          <w:bCs/>
        </w:rPr>
        <w:t xml:space="preserve">все</w:t>
      </w:r>
      <w:r>
        <w:t xml:space="preserve"> </w:t>
      </w:r>
      <w:r>
        <w:t xml:space="preserve">логи в PostgreSQL я не рекомендую. Для бизнес-сущностей и аудита Postgres нужен и полезен, но для полного сырых технических логов лучше работает специализированный log stack. Loki официально позиционируется как log aggregation system с маленьким индексом, где индексируются только labels, а сами log chunks хранятся сжатым образом; Fluent Bit при этом можно использовать как лёгкий агент-процессор и форвардер, в том числе для Docker-логов. На практике это даёт вам значительно более удобный и дешёвый путь: технические логи — в Loki; критичные доменные события и агрегаты — в PostgreSQL.</w:t>
      </w:r>
      <w:r>
        <w:t xml:space="preserve"> </w:t>
      </w:r>
      <w:hyperlink r:id="rId40">
        <w:r>
          <w:rPr>
            <w:rStyle w:val="Hyperlink"/>
          </w:rPr>
          <w:t xml:space="preserve">[25]</w:t>
        </w:r>
      </w:hyperlink>
    </w:p>
    <w:p>
      <w:pPr>
        <w:pStyle w:val="BodyText"/>
      </w:pPr>
      <w:r>
        <w:t xml:space="preserve">В PostgreSQL я бы держал следующие основные таблицы:</w:t>
      </w:r>
      <w:r>
        <w:t xml:space="preserve"> </w:t>
      </w:r>
      <w:r>
        <w:rPr>
          <w:rStyle w:val="VerbatimChar"/>
        </w:rPr>
        <w:t xml:space="preserve">instrument_registry</w:t>
      </w:r>
      <w:r>
        <w:t xml:space="preserve">,</w:t>
      </w:r>
      <w:r>
        <w:t xml:space="preserve"> </w:t>
      </w:r>
      <w:r>
        <w:rPr>
          <w:rStyle w:val="VerbatimChar"/>
        </w:rPr>
        <w:t xml:space="preserve">strategy_config</w:t>
      </w:r>
      <w:r>
        <w:t xml:space="preserve">,</w:t>
      </w:r>
      <w:r>
        <w:t xml:space="preserve"> </w:t>
      </w:r>
      <w:r>
        <w:rPr>
          <w:rStyle w:val="VerbatimChar"/>
        </w:rPr>
        <w:t xml:space="preserve">session_run</w:t>
      </w:r>
      <w:r>
        <w:t xml:space="preserve">,</w:t>
      </w:r>
      <w:r>
        <w:t xml:space="preserve"> </w:t>
      </w:r>
      <w:r>
        <w:rPr>
          <w:rStyle w:val="VerbatimChar"/>
        </w:rPr>
        <w:t xml:space="preserve">candle_store</w:t>
      </w:r>
      <w:r>
        <w:t xml:space="preserve">,</w:t>
      </w:r>
      <w:r>
        <w:t xml:space="preserve"> </w:t>
      </w:r>
      <w:r>
        <w:rPr>
          <w:rStyle w:val="VerbatimChar"/>
        </w:rPr>
        <w:t xml:space="preserve">signal_event</w:t>
      </w:r>
      <w:r>
        <w:t xml:space="preserve">,</w:t>
      </w:r>
      <w:r>
        <w:t xml:space="preserve"> </w:t>
      </w:r>
      <w:r>
        <w:rPr>
          <w:rStyle w:val="VerbatimChar"/>
        </w:rPr>
        <w:t xml:space="preserve">order_intent</w:t>
      </w:r>
      <w:r>
        <w:t xml:space="preserve">,</w:t>
      </w:r>
      <w:r>
        <w:t xml:space="preserve"> </w:t>
      </w:r>
      <w:r>
        <w:rPr>
          <w:rStyle w:val="VerbatimChar"/>
        </w:rPr>
        <w:t xml:space="preserve">broker_order</w:t>
      </w:r>
      <w:r>
        <w:t xml:space="preserve">,</w:t>
      </w:r>
      <w:r>
        <w:t xml:space="preserve"> </w:t>
      </w:r>
      <w:r>
        <w:rPr>
          <w:rStyle w:val="VerbatimChar"/>
        </w:rPr>
        <w:t xml:space="preserve">fill_event</w:t>
      </w:r>
      <w:r>
        <w:t xml:space="preserve">,</w:t>
      </w:r>
      <w:r>
        <w:t xml:space="preserve"> </w:t>
      </w:r>
      <w:r>
        <w:rPr>
          <w:rStyle w:val="VerbatimChar"/>
        </w:rPr>
        <w:t xml:space="preserve">position_snapshot</w:t>
      </w:r>
      <w:r>
        <w:t xml:space="preserve">,</w:t>
      </w:r>
      <w:r>
        <w:t xml:space="preserve"> </w:t>
      </w:r>
      <w:r>
        <w:rPr>
          <w:rStyle w:val="VerbatimChar"/>
        </w:rPr>
        <w:t xml:space="preserve">risk_event</w:t>
      </w:r>
      <w:r>
        <w:t xml:space="preserve">,</w:t>
      </w:r>
      <w:r>
        <w:t xml:space="preserve"> </w:t>
      </w:r>
      <w:r>
        <w:rPr>
          <w:rStyle w:val="VerbatimChar"/>
        </w:rPr>
        <w:t xml:space="preserve">hourly_report</w:t>
      </w:r>
      <w:r>
        <w:t xml:space="preserve">,</w:t>
      </w:r>
      <w:r>
        <w:t xml:space="preserve"> </w:t>
      </w:r>
      <w:r>
        <w:rPr>
          <w:rStyle w:val="VerbatimChar"/>
        </w:rPr>
        <w:t xml:space="preserve">daily_report</w:t>
      </w:r>
      <w:r>
        <w:t xml:space="preserve">,</w:t>
      </w:r>
      <w:r>
        <w:t xml:space="preserve"> </w:t>
      </w:r>
      <w:r>
        <w:rPr>
          <w:rStyle w:val="VerbatimChar"/>
        </w:rPr>
        <w:t xml:space="preserve">audit_event</w:t>
      </w:r>
      <w:r>
        <w:t xml:space="preserve">. Высоконагруженные таблицы вроде</w:t>
      </w:r>
      <w:r>
        <w:t xml:space="preserve"> </w:t>
      </w:r>
      <w:r>
        <w:rPr>
          <w:rStyle w:val="VerbatimChar"/>
        </w:rPr>
        <w:t xml:space="preserve">candle_store</w:t>
      </w:r>
      <w:r>
        <w:t xml:space="preserve">,</w:t>
      </w:r>
      <w:r>
        <w:t xml:space="preserve"> </w:t>
      </w:r>
      <w:r>
        <w:rPr>
          <w:rStyle w:val="VerbatimChar"/>
        </w:rPr>
        <w:t xml:space="preserve">audit_event</w:t>
      </w:r>
      <w:r>
        <w:t xml:space="preserve"> </w:t>
      </w:r>
      <w:r>
        <w:t xml:space="preserve">и</w:t>
      </w:r>
      <w:r>
        <w:t xml:space="preserve"> </w:t>
      </w:r>
      <w:r>
        <w:rPr>
          <w:rStyle w:val="VerbatimChar"/>
        </w:rPr>
        <w:t xml:space="preserve">fill_event</w:t>
      </w:r>
      <w:r>
        <w:t xml:space="preserve"> </w:t>
      </w:r>
      <w:r>
        <w:t xml:space="preserve">стоит сразу проектировать как partitioned tables, потому что PostgreSQL нативно поддерживает declarative partitioning. Для вашего кейса разумный вариант — партиционирование по дню или месяцу в зависимости от объёма данных и политики retention.</w:t>
      </w:r>
      <w:r>
        <w:t xml:space="preserve"> </w:t>
      </w:r>
      <w:hyperlink r:id="rId41">
        <w:r>
          <w:rPr>
            <w:rStyle w:val="Hyperlink"/>
          </w:rPr>
          <w:t xml:space="preserve">[26]</w:t>
        </w:r>
      </w:hyperlink>
    </w:p>
    <w:p>
      <w:pPr>
        <w:pStyle w:val="BodyText"/>
      </w:pPr>
      <w:r>
        <w:t xml:space="preserve">Слой метрик должен жить отдельно от логов. Для latency и quality-of-service здесь отлично подходит Prometheus-модель, а для распределений латентности и задержек —</w:t>
      </w:r>
      <w:r>
        <w:t xml:space="preserve"> </w:t>
      </w:r>
      <w:r>
        <w:rPr>
          <w:rStyle w:val="VerbatimChar"/>
        </w:rPr>
        <w:t xml:space="preserve">Histogram</w:t>
      </w:r>
      <w:r>
        <w:t xml:space="preserve">: официальный Python client прямо рекомендует histograms для latency, response sizes и агрегируемых квантилей. В вашем роботе отдельными гистограммами должны мериться хотя бы</w:t>
      </w:r>
      <w:r>
        <w:t xml:space="preserve"> </w:t>
      </w:r>
      <w:r>
        <w:rPr>
          <w:rStyle w:val="VerbatimChar"/>
        </w:rPr>
        <w:t xml:space="preserve">broker_post_order_latency_seconds</w:t>
      </w:r>
      <w:r>
        <w:t xml:space="preserve">,</w:t>
      </w:r>
      <w:r>
        <w:t xml:space="preserve"> </w:t>
      </w:r>
      <w:r>
        <w:rPr>
          <w:rStyle w:val="VerbatimChar"/>
        </w:rPr>
        <w:t xml:space="preserve">order_state_convergence_seconds</w:t>
      </w:r>
      <w:r>
        <w:t xml:space="preserve">,</w:t>
      </w:r>
      <w:r>
        <w:t xml:space="preserve"> </w:t>
      </w:r>
      <w:r>
        <w:rPr>
          <w:rStyle w:val="VerbatimChar"/>
        </w:rPr>
        <w:t xml:space="preserve">candle_close_delivery_lag_seconds</w:t>
      </w:r>
      <w:r>
        <w:t xml:space="preserve">,</w:t>
      </w:r>
      <w:r>
        <w:t xml:space="preserve"> </w:t>
      </w:r>
      <w:r>
        <w:rPr>
          <w:rStyle w:val="VerbatimChar"/>
        </w:rPr>
        <w:t xml:space="preserve">session_rollover_duration_seconds</w:t>
      </w:r>
      <w:r>
        <w:t xml:space="preserve">; счётчиками —</w:t>
      </w:r>
      <w:r>
        <w:t xml:space="preserve"> </w:t>
      </w:r>
      <w:r>
        <w:rPr>
          <w:rStyle w:val="VerbatimChar"/>
        </w:rPr>
        <w:t xml:space="preserve">reconnect_total</w:t>
      </w:r>
      <w:r>
        <w:t xml:space="preserve">,</w:t>
      </w:r>
      <w:r>
        <w:t xml:space="preserve"> </w:t>
      </w:r>
      <w:r>
        <w:rPr>
          <w:rStyle w:val="VerbatimChar"/>
        </w:rPr>
        <w:t xml:space="preserve">rejected_orders_total</w:t>
      </w:r>
      <w:r>
        <w:t xml:space="preserve">,</w:t>
      </w:r>
      <w:r>
        <w:t xml:space="preserve"> </w:t>
      </w:r>
      <w:r>
        <w:rPr>
          <w:rStyle w:val="VerbatimChar"/>
        </w:rPr>
        <w:t xml:space="preserve">risk_events_total</w:t>
      </w:r>
      <w:r>
        <w:t xml:space="preserve">; gauge-метриками —</w:t>
      </w:r>
      <w:r>
        <w:t xml:space="preserve"> </w:t>
      </w:r>
      <w:r>
        <w:rPr>
          <w:rStyle w:val="VerbatimChar"/>
        </w:rPr>
        <w:t xml:space="preserve">open_orders</w:t>
      </w:r>
      <w:r>
        <w:t xml:space="preserve">,</w:t>
      </w:r>
      <w:r>
        <w:t xml:space="preserve"> </w:t>
      </w:r>
      <w:r>
        <w:rPr>
          <w:rStyle w:val="VerbatimChar"/>
        </w:rPr>
        <w:t xml:space="preserve">active_positions</w:t>
      </w:r>
      <w:r>
        <w:t xml:space="preserve">,</w:t>
      </w:r>
      <w:r>
        <w:t xml:space="preserve"> </w:t>
      </w:r>
      <w:r>
        <w:rPr>
          <w:rStyle w:val="VerbatimChar"/>
        </w:rPr>
        <w:t xml:space="preserve">market_stream_alive</w:t>
      </w:r>
      <w:r>
        <w:t xml:space="preserve">,</w:t>
      </w:r>
      <w:r>
        <w:t xml:space="preserve"> </w:t>
      </w:r>
      <w:r>
        <w:rPr>
          <w:rStyle w:val="VerbatimChar"/>
        </w:rPr>
        <w:t xml:space="preserve">last_closed_candle_age_seconds</w:t>
      </w:r>
      <w:r>
        <w:t xml:space="preserve">.</w:t>
      </w:r>
      <w:r>
        <w:t xml:space="preserve"> </w:t>
      </w:r>
      <w:hyperlink r:id="rId42">
        <w:r>
          <w:rPr>
            <w:rStyle w:val="Hyperlink"/>
          </w:rPr>
          <w:t xml:space="preserve">[27]</w:t>
        </w:r>
      </w:hyperlink>
    </w:p>
    <w:p>
      <w:pPr>
        <w:pStyle w:val="BodyText"/>
      </w:pPr>
      <w:r>
        <w:t xml:space="preserve">Часовые отчёты я бы не строил внутри FastAPI</w:t>
      </w:r>
      <w:r>
        <w:t xml:space="preserve"> </w:t>
      </w:r>
      <w:r>
        <w:rPr>
          <w:rStyle w:val="VerbatimChar"/>
        </w:rPr>
        <w:t xml:space="preserve">BackgroundTasks</w:t>
      </w:r>
      <w:r>
        <w:t xml:space="preserve">. Собственная документация FastAPI прямо говорит, что</w:t>
      </w:r>
      <w:r>
        <w:t xml:space="preserve"> </w:t>
      </w:r>
      <w:r>
        <w:rPr>
          <w:rStyle w:val="VerbatimChar"/>
        </w:rPr>
        <w:t xml:space="preserve">BackgroundTasks</w:t>
      </w:r>
      <w:r>
        <w:t xml:space="preserve"> </w:t>
      </w:r>
      <w:r>
        <w:t xml:space="preserve">полезны для небольших задач того же процесса, а для тяжёлых фоновых вычислений лучше использовать более крупные инструменты вроде Celery. Поэтому правильное разделение обязанностей здесь такое:</w:t>
      </w:r>
      <w:r>
        <w:t xml:space="preserve"> </w:t>
      </w:r>
      <w:r>
        <w:rPr>
          <w:b/>
          <w:bCs/>
        </w:rPr>
        <w:t xml:space="preserve">APScheduler</w:t>
      </w:r>
      <w:r>
        <w:t xml:space="preserve"> </w:t>
      </w:r>
      <w:r>
        <w:t xml:space="preserve">или отдельный session-orchestrator отвечает за расписание и создание событий «час закрыт», а</w:t>
      </w:r>
      <w:r>
        <w:t xml:space="preserve"> </w:t>
      </w:r>
      <w:r>
        <w:rPr>
          <w:b/>
          <w:bCs/>
        </w:rPr>
        <w:t xml:space="preserve">Celery worker</w:t>
      </w:r>
      <w:r>
        <w:t xml:space="preserve"> </w:t>
      </w:r>
      <w:r>
        <w:t xml:space="preserve">забирает задачу и собирает HTML/JSON/PDF-отчёт без влияния на торговый цикл. Дополнительно стоит избегать паттерна «навешать Celery ETA/countdown далеко в будущее», потому что Celery сам предупреждает, что такие задачи накапливаются в памяти worker’а до момента исполнения.</w:t>
      </w:r>
      <w:r>
        <w:t xml:space="preserve"> </w:t>
      </w:r>
      <w:hyperlink r:id="rId43">
        <w:r>
          <w:rPr>
            <w:rStyle w:val="Hyperlink"/>
          </w:rPr>
          <w:t xml:space="preserve">[28]</w:t>
        </w:r>
      </w:hyperlink>
    </w:p>
    <w:p>
      <w:pPr>
        <w:pStyle w:val="BodyText"/>
      </w:pPr>
      <w:r>
        <w:t xml:space="preserve">Содержимое каждого часового отчёта я бы делал максимально прикладным для калибровки, а не «красивым». Минимум, который реально нужен: realised/unrealised PnL, комиссии, оценка проскальзывания, число сигналов, число входов/выходов, fill ratio, средняя задержка исполнения, число отмен/замен ордеров, число сетевых и API-ошибок, число разрывов стрима, максимальная просадка за час, пропущенные свечи, время простоя, распределение latency по гистограммам и список всех</w:t>
      </w:r>
      <w:r>
        <w:t xml:space="preserve"> </w:t>
      </w:r>
      <w:r>
        <w:rPr>
          <w:rStyle w:val="VerbatimChar"/>
        </w:rPr>
        <w:t xml:space="preserve">risk_event</w:t>
      </w:r>
      <w:r>
        <w:t xml:space="preserve">. Тогда отчёт становится материалом не для презентации, а для реальной настройки стратегии и инфраструктуры. Под этот же слой удобно подвязывать недельные и суточные summary jobs через тот же Celery pipeline.</w:t>
      </w:r>
      <w:r>
        <w:t xml:space="preserve"> </w:t>
      </w:r>
      <w:hyperlink r:id="rId42">
        <w:r>
          <w:rPr>
            <w:rStyle w:val="Hyperlink"/>
          </w:rPr>
          <w:t xml:space="preserve">[29]</w:t>
        </w:r>
      </w:hyperlink>
    </w:p>
    <w:bookmarkEnd w:id="44"/>
    <w:bookmarkStart w:id="48" w:name="технологический-стек-и-план-запуска"/>
    <w:p>
      <w:pPr>
        <w:pStyle w:val="Heading2"/>
      </w:pPr>
      <w:r>
        <w:t xml:space="preserve">Технологический стек и план запуска</w:t>
      </w:r>
    </w:p>
    <w:p>
      <w:pPr>
        <w:pStyle w:val="FirstParagraph"/>
      </w:pPr>
      <w:r>
        <w:t xml:space="preserve">Если собрать всё в конкретный стек, я бы предложил такой вариант.</w:t>
      </w:r>
      <w:r>
        <w:t xml:space="preserve"> </w:t>
      </w:r>
      <w:r>
        <w:rPr>
          <w:b/>
          <w:bCs/>
        </w:rPr>
        <w:t xml:space="preserve">Python 3.12</w:t>
      </w:r>
      <w:r>
        <w:t xml:space="preserve">,</w:t>
      </w:r>
      <w:r>
        <w:t xml:space="preserve"> </w:t>
      </w:r>
      <w:r>
        <w:rPr>
          <w:rStyle w:val="VerbatimChar"/>
        </w:rPr>
        <w:t xml:space="preserve">asyncio</w:t>
      </w:r>
      <w:r>
        <w:t xml:space="preserve">, документированный Python SDK из Dev Portal Т‑Банка как быстрый стартовый слой интеграции, но обязательно за собственным adapter interface, чтобы можно было в любой момент перейти на raw gRPC без переписывания стратегии. Такой выбор хорошо поддерживается официальной документацией T‑Bank: в Dev Portal есть Python SDK, пример установки пакета</w:t>
      </w:r>
      <w:r>
        <w:t xml:space="preserve"> </w:t>
      </w:r>
      <w:r>
        <w:rPr>
          <w:rStyle w:val="VerbatimChar"/>
        </w:rPr>
        <w:t xml:space="preserve">t-tech-investments</w:t>
      </w:r>
      <w:r>
        <w:t xml:space="preserve">, и даже ссылки на готовые роботы и стратегии, которые можно использовать именно как reference implementations, а не как продовый код.</w:t>
      </w:r>
      <w:r>
        <w:t xml:space="preserve"> </w:t>
      </w:r>
      <w:hyperlink r:id="rId45">
        <w:r>
          <w:rPr>
            <w:rStyle w:val="Hyperlink"/>
          </w:rPr>
          <w:t xml:space="preserve">[30]</w:t>
        </w:r>
      </w:hyperlink>
    </w:p>
    <w:p>
      <w:pPr>
        <w:pStyle w:val="BodyText"/>
      </w:pPr>
      <w:r>
        <w:t xml:space="preserve">Для API и операционного контура:</w:t>
      </w:r>
      <w:r>
        <w:t xml:space="preserve"> </w:t>
      </w:r>
      <w:r>
        <w:rPr>
          <w:b/>
          <w:bCs/>
        </w:rPr>
        <w:t xml:space="preserve">FastAPI</w:t>
      </w:r>
      <w:r>
        <w:t xml:space="preserve">, потому что он естественно работает с Python-данными, хорошо подходит для management API, и поддерживает WebSocket. Для time-based оркестрации:</w:t>
      </w:r>
      <w:r>
        <w:t xml:space="preserve"> </w:t>
      </w:r>
      <w:r>
        <w:rPr>
          <w:b/>
          <w:bCs/>
        </w:rPr>
        <w:t xml:space="preserve">APScheduler</w:t>
      </w:r>
      <w:r>
        <w:t xml:space="preserve">, потому что он даёт триггеры, job stores, executors и schedulers. Для тяжёлых фоновых задач:</w:t>
      </w:r>
      <w:r>
        <w:t xml:space="preserve"> </w:t>
      </w:r>
      <w:r>
        <w:rPr>
          <w:b/>
          <w:bCs/>
        </w:rPr>
        <w:t xml:space="preserve">Celery + Redis</w:t>
      </w:r>
      <w:r>
        <w:t xml:space="preserve">. Для БД:</w:t>
      </w:r>
      <w:r>
        <w:t xml:space="preserve"> </w:t>
      </w:r>
      <w:r>
        <w:rPr>
          <w:b/>
          <w:bCs/>
        </w:rPr>
        <w:t xml:space="preserve">PostgreSQL</w:t>
      </w:r>
      <w:r>
        <w:t xml:space="preserve"> </w:t>
      </w:r>
      <w:r>
        <w:t xml:space="preserve">с миграциями и партиционированием. Для observability:</w:t>
      </w:r>
      <w:r>
        <w:t xml:space="preserve"> </w:t>
      </w:r>
      <w:r>
        <w:rPr>
          <w:b/>
          <w:bCs/>
        </w:rPr>
        <w:t xml:space="preserve">Prometheus client + Fluent Bit + Loki + Grafana</w:t>
      </w:r>
      <w:r>
        <w:t xml:space="preserve">. Для контейнеризации:</w:t>
      </w:r>
      <w:r>
        <w:t xml:space="preserve"> </w:t>
      </w:r>
      <w:r>
        <w:rPr>
          <w:b/>
          <w:bCs/>
        </w:rPr>
        <w:t xml:space="preserve">Docker Compose</w:t>
      </w:r>
      <w:r>
        <w:t xml:space="preserve"> </w:t>
      </w:r>
      <w:r>
        <w:t xml:space="preserve">с настроенными</w:t>
      </w:r>
      <w:r>
        <w:t xml:space="preserve"> </w:t>
      </w:r>
      <w:r>
        <w:rPr>
          <w:rStyle w:val="VerbatimChar"/>
        </w:rPr>
        <w:t xml:space="preserve">healthcheck</w:t>
      </w:r>
      <w:r>
        <w:t xml:space="preserve"> </w:t>
      </w:r>
      <w:r>
        <w:t xml:space="preserve">и dependency order. Это всё даёт довольно компактный, но по-настоящему production-like стек.</w:t>
      </w:r>
      <w:r>
        <w:t xml:space="preserve"> </w:t>
      </w:r>
      <w:hyperlink r:id="rId35">
        <w:r>
          <w:rPr>
            <w:rStyle w:val="Hyperlink"/>
          </w:rPr>
          <w:t xml:space="preserve">[31]</w:t>
        </w:r>
      </w:hyperlink>
    </w:p>
    <w:p>
      <w:pPr>
        <w:pStyle w:val="BodyText"/>
      </w:pPr>
      <w:r>
        <w:t xml:space="preserve">С точки зрения эксплуатационной жёсткости в слой infra я бы сразу добавил несколько обязательных настроек. Первое — per-method deadlines на gRPC-клиенте: T‑Invest публикует рекомендованные минимальные значения, где, например,</w:t>
      </w:r>
      <w:r>
        <w:t xml:space="preserve"> </w:t>
      </w:r>
      <w:r>
        <w:rPr>
          <w:rStyle w:val="VerbatimChar"/>
        </w:rPr>
        <w:t xml:space="preserve">TradingSchedules</w:t>
      </w:r>
      <w:r>
        <w:t xml:space="preserve"> </w:t>
      </w:r>
      <w:r>
        <w:t xml:space="preserve">и</w:t>
      </w:r>
      <w:r>
        <w:t xml:space="preserve"> </w:t>
      </w:r>
      <w:r>
        <w:rPr>
          <w:rStyle w:val="VerbatimChar"/>
        </w:rPr>
        <w:t xml:space="preserve">GetOrderState</w:t>
      </w:r>
      <w:r>
        <w:t xml:space="preserve"> </w:t>
      </w:r>
      <w:r>
        <w:t xml:space="preserve">имеют минимум 300 мс, а</w:t>
      </w:r>
      <w:r>
        <w:t xml:space="preserve"> </w:t>
      </w:r>
      <w:r>
        <w:rPr>
          <w:rStyle w:val="VerbatimChar"/>
        </w:rPr>
        <w:t xml:space="preserve">PostOrder</w:t>
      </w:r>
      <w:r>
        <w:t xml:space="preserve"> </w:t>
      </w:r>
      <w:r>
        <w:t xml:space="preserve">— 1500 мс. Второе — раздельные токены по ролям и alert на истечение срока жизни токена. Третье — логирование</w:t>
      </w:r>
      <w:r>
        <w:t xml:space="preserve"> </w:t>
      </w:r>
      <w:r>
        <w:rPr>
          <w:rStyle w:val="VerbatimChar"/>
        </w:rPr>
        <w:t xml:space="preserve">x-tracking-id</w:t>
      </w:r>
      <w:r>
        <w:t xml:space="preserve"> </w:t>
      </w:r>
      <w:r>
        <w:t xml:space="preserve">и лимитных заголовков. Четвёртое — если вам не нужна маржинальная торговля, лучше отключить её, потому что Т‑Bank прямо пишет, что скорость исполнения поручений с включённой маржинальной торговлей значительно ниже. Для вашего стиля торговли на трёх high-liquidity бумагах и ТФ 5/10/15 это особенно разумно: вы не HFT, вам не нужен лишний latency tax.</w:t>
      </w:r>
      <w:r>
        <w:t xml:space="preserve"> </w:t>
      </w:r>
      <w:hyperlink r:id="rId46">
        <w:r>
          <w:rPr>
            <w:rStyle w:val="Hyperlink"/>
          </w:rPr>
          <w:t xml:space="preserve">[32]</w:t>
        </w:r>
      </w:hyperlink>
    </w:p>
    <w:p>
      <w:pPr>
        <w:pStyle w:val="BodyText"/>
      </w:pPr>
      <w:r>
        <w:t xml:space="preserve">План запуска я бы строил в четыре очереди. Сначала —</w:t>
      </w:r>
      <w:r>
        <w:t xml:space="preserve"> </w:t>
      </w:r>
      <w:r>
        <w:rPr>
          <w:b/>
          <w:bCs/>
        </w:rPr>
        <w:t xml:space="preserve">sandbox + historical replay</w:t>
      </w:r>
      <w:r>
        <w:t xml:space="preserve">: сессии, часовая ротация, логи, отчёты, отказоустойчивость и gap recovery. У Т‑Invest песочница не влияет на реальные данные, а в FAQ подчёркнуто, что для неё используется реальная биржевая информация; это хороший этап, чтобы довести инфраструктуру, не рискуя деньгами. Затем —</w:t>
      </w:r>
      <w:r>
        <w:t xml:space="preserve"> </w:t>
      </w:r>
      <w:r>
        <w:rPr>
          <w:b/>
          <w:bCs/>
        </w:rPr>
        <w:t xml:space="preserve">shadow mode</w:t>
      </w:r>
      <w:r>
        <w:t xml:space="preserve"> </w:t>
      </w:r>
      <w:r>
        <w:t xml:space="preserve">на боевом контуре: реальный market data stream и полная генерация сигналов, но без отправки ордеров. Третий этап —</w:t>
      </w:r>
      <w:r>
        <w:t xml:space="preserve"> </w:t>
      </w:r>
      <w:r>
        <w:rPr>
          <w:b/>
          <w:bCs/>
        </w:rPr>
        <w:t xml:space="preserve">small capital production</w:t>
      </w:r>
      <w:r>
        <w:t xml:space="preserve"> </w:t>
      </w:r>
      <w:r>
        <w:t xml:space="preserve">только на SBER и GAZP, с очень низкими risk limits и без weekend-режима. И только после накопления журналов и калибровки — четвёртый этап:</w:t>
      </w:r>
      <w:r>
        <w:t xml:space="preserve"> </w:t>
      </w:r>
      <w:r>
        <w:rPr>
          <w:b/>
          <w:bCs/>
        </w:rPr>
        <w:t xml:space="preserve">LKOH и отдельный weekend-профиль стратегии</w:t>
      </w:r>
      <w:r>
        <w:t xml:space="preserve">.</w:t>
      </w:r>
      <w:r>
        <w:t xml:space="preserve"> </w:t>
      </w:r>
      <w:hyperlink r:id="rId47">
        <w:r>
          <w:rPr>
            <w:rStyle w:val="Hyperlink"/>
          </w:rPr>
          <w:t xml:space="preserve">[33]</w:t>
        </w:r>
      </w:hyperlink>
    </w:p>
    <w:p>
      <w:pPr>
        <w:pStyle w:val="BodyText"/>
      </w:pPr>
      <w:r>
        <w:t xml:space="preserve">Итоговая рекомендация в одном абзаце такая:</w:t>
      </w:r>
      <w:r>
        <w:t xml:space="preserve"> </w:t>
      </w:r>
      <w:r>
        <w:rPr>
          <w:b/>
          <w:bCs/>
        </w:rPr>
        <w:t xml:space="preserve">делать Python-first модульный торговый контур, подключаться к Т‑Invest преимущественно по gRPC, использовать WebSocket для live-стриминга туда, где он действительно нужен, хранить состояние и аудит в PostgreSQL, а технические логи — в Loki, реализовать session-aware state machine с почасовыми логическими микро-сессиями и асинхронной отчётностью, но не перезапускать торговое ядро каждый час физически</w:t>
      </w:r>
      <w:r>
        <w:t xml:space="preserve">. Для вашего запроса это даст и инженерную аккуратность, и хорошую платформу для последующей калибровки на SBER, GAZP и, при желании, LKOH.</w:t>
      </w:r>
      <w:r>
        <w:t xml:space="preserve"> </w:t>
      </w:r>
      <w:hyperlink r:id="rId21">
        <w:r>
          <w:rPr>
            <w:rStyle w:val="Hyperlink"/>
          </w:rPr>
          <w:t xml:space="preserve">[34]</w:t>
        </w:r>
      </w:hyperlink>
    </w:p>
    <w:bookmarkEnd w:id="48"/>
    <w:bookmarkEnd w:id="49"/>
    <w:bookmarkEnd w:id="50"/>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1">
        <w:r>
          <w:rPr>
            <w:rStyle w:val="Hyperlink"/>
          </w:rPr>
          <w:t xml:space="preserve">[34]</w:t>
        </w:r>
      </w:hyperlink>
      <w:r>
        <w:t xml:space="preserve"> </w:t>
      </w:r>
      <w:r>
        <w:t xml:space="preserve">https://developer.tinkoff.ru/invest/intro/developer/protocols/</w:t>
      </w:r>
    </w:p>
    <w:p>
      <w:pPr>
        <w:pStyle w:val="BodyText"/>
      </w:pPr>
      <w:hyperlink r:id="rId21">
        <w:r>
          <w:rPr>
            <w:rStyle w:val="Hyperlink"/>
          </w:rPr>
          <w:t xml:space="preserve">https://developer.tinkoff.ru/invest/intro/developer/protocols/</w:t>
        </w:r>
      </w:hyperlink>
    </w:p>
    <w:p>
      <w:pPr>
        <w:pStyle w:val="BodyText"/>
      </w:pPr>
      <w:hyperlink r:id="rId22">
        <w:r>
          <w:rPr>
            <w:rStyle w:val="Hyperlink"/>
          </w:rPr>
          <w:t xml:space="preserve">[2]</w:t>
        </w:r>
      </w:hyperlink>
      <w:r>
        <w:t xml:space="preserve"> </w:t>
      </w:r>
      <w:hyperlink r:id="rId22">
        <w:r>
          <w:rPr>
            <w:rStyle w:val="Hyperlink"/>
          </w:rPr>
          <w:t xml:space="preserve">[6]</w:t>
        </w:r>
      </w:hyperlink>
      <w:r>
        <w:t xml:space="preserve"> </w:t>
      </w:r>
      <w:r>
        <w:t xml:space="preserve">https://www.moex.com/en/stocks/sber</w:t>
      </w:r>
    </w:p>
    <w:p>
      <w:pPr>
        <w:pStyle w:val="BodyText"/>
      </w:pPr>
      <w:hyperlink r:id="rId22">
        <w:r>
          <w:rPr>
            <w:rStyle w:val="Hyperlink"/>
          </w:rPr>
          <w:t xml:space="preserve">https://www.moex.com/en/stocks/sber</w:t>
        </w:r>
      </w:hyperlink>
    </w:p>
    <w:p>
      <w:pPr>
        <w:pStyle w:val="BodyText"/>
      </w:pPr>
      <w:hyperlink r:id="rId23">
        <w:r>
          <w:rPr>
            <w:rStyle w:val="Hyperlink"/>
          </w:rPr>
          <w:t xml:space="preserve">[3]</w:t>
        </w:r>
      </w:hyperlink>
      <w:r>
        <w:t xml:space="preserve"> </w:t>
      </w:r>
      <w:hyperlink r:id="rId23">
        <w:r>
          <w:rPr>
            <w:rStyle w:val="Hyperlink"/>
          </w:rPr>
          <w:t xml:space="preserve">[10]</w:t>
        </w:r>
      </w:hyperlink>
      <w:r>
        <w:t xml:space="preserve"> </w:t>
      </w:r>
      <w:hyperlink r:id="rId23">
        <w:r>
          <w:rPr>
            <w:rStyle w:val="Hyperlink"/>
          </w:rPr>
          <w:t xml:space="preserve">[20]</w:t>
        </w:r>
      </w:hyperlink>
      <w:r>
        <w:t xml:space="preserve"> </w:t>
      </w:r>
      <w:hyperlink r:id="rId23">
        <w:r>
          <w:rPr>
            <w:rStyle w:val="Hyperlink"/>
          </w:rPr>
          <w:t xml:space="preserve">[22]</w:t>
        </w:r>
      </w:hyperlink>
      <w:r>
        <w:t xml:space="preserve"> </w:t>
      </w:r>
      <w:r>
        <w:t xml:space="preserve">https://developer.tinkoff.ru/invest/intro/developer/stream</w:t>
      </w:r>
    </w:p>
    <w:p>
      <w:pPr>
        <w:pStyle w:val="BodyText"/>
      </w:pPr>
      <w:hyperlink r:id="rId23">
        <w:r>
          <w:rPr>
            <w:rStyle w:val="Hyperlink"/>
          </w:rPr>
          <w:t xml:space="preserve">https://developer.tinkoff.ru/invest/intro/developer/stream</w:t>
        </w:r>
      </w:hyperlink>
    </w:p>
    <w:p>
      <w:pPr>
        <w:pStyle w:val="BodyText"/>
      </w:pPr>
      <w:hyperlink r:id="rId25">
        <w:r>
          <w:rPr>
            <w:rStyle w:val="Hyperlink"/>
          </w:rPr>
          <w:t xml:space="preserve">[4]</w:t>
        </w:r>
      </w:hyperlink>
      <w:r>
        <w:t xml:space="preserve"> </w:t>
      </w:r>
      <w:hyperlink r:id="rId25">
        <w:r>
          <w:rPr>
            <w:rStyle w:val="Hyperlink"/>
          </w:rPr>
          <w:t xml:space="preserve">[19]</w:t>
        </w:r>
      </w:hyperlink>
      <w:r>
        <w:t xml:space="preserve"> </w:t>
      </w:r>
      <w:r>
        <w:t xml:space="preserve">https://www.moex.com/s1167</w:t>
      </w:r>
    </w:p>
    <w:p>
      <w:pPr>
        <w:pStyle w:val="BodyText"/>
      </w:pPr>
      <w:hyperlink r:id="rId25">
        <w:r>
          <w:rPr>
            <w:rStyle w:val="Hyperlink"/>
          </w:rPr>
          <w:t xml:space="preserve">https://www.moex.com/s1167</w:t>
        </w:r>
      </w:hyperlink>
    </w:p>
    <w:p>
      <w:pPr>
        <w:pStyle w:val="BodyText"/>
      </w:pPr>
      <w:hyperlink r:id="rId26">
        <w:r>
          <w:rPr>
            <w:rStyle w:val="Hyperlink"/>
          </w:rPr>
          <w:t xml:space="preserve">[5]</w:t>
        </w:r>
      </w:hyperlink>
      <w:r>
        <w:t xml:space="preserve"> </w:t>
      </w:r>
      <w:hyperlink r:id="rId26">
        <w:r>
          <w:rPr>
            <w:rStyle w:val="Hyperlink"/>
          </w:rPr>
          <w:t xml:space="preserve">[21]</w:t>
        </w:r>
      </w:hyperlink>
      <w:r>
        <w:t xml:space="preserve"> </w:t>
      </w:r>
      <w:r>
        <w:t xml:space="preserve">https://www.moex.com/s3790</w:t>
      </w:r>
    </w:p>
    <w:p>
      <w:pPr>
        <w:pStyle w:val="BodyText"/>
      </w:pPr>
      <w:hyperlink r:id="rId26">
        <w:r>
          <w:rPr>
            <w:rStyle w:val="Hyperlink"/>
          </w:rPr>
          <w:t xml:space="preserve">https://www.moex.com/s3790</w:t>
        </w:r>
      </w:hyperlink>
    </w:p>
    <w:p>
      <w:pPr>
        <w:pStyle w:val="BodyText"/>
      </w:pPr>
      <w:hyperlink r:id="rId27">
        <w:r>
          <w:rPr>
            <w:rStyle w:val="Hyperlink"/>
          </w:rPr>
          <w:t xml:space="preserve">[7]</w:t>
        </w:r>
      </w:hyperlink>
      <w:r>
        <w:t xml:space="preserve"> </w:t>
      </w:r>
      <w:r>
        <w:t xml:space="preserve">https://www.tbank.ru/invest/tariffs/</w:t>
      </w:r>
    </w:p>
    <w:p>
      <w:pPr>
        <w:pStyle w:val="BodyText"/>
      </w:pPr>
      <w:hyperlink r:id="rId27">
        <w:r>
          <w:rPr>
            <w:rStyle w:val="Hyperlink"/>
          </w:rPr>
          <w:t xml:space="preserve">https://www.tbank.ru/invest/tariffs/</w:t>
        </w:r>
      </w:hyperlink>
    </w:p>
    <w:p>
      <w:pPr>
        <w:pStyle w:val="BodyText"/>
      </w:pPr>
      <w:hyperlink r:id="rId28">
        <w:r>
          <w:rPr>
            <w:rStyle w:val="Hyperlink"/>
          </w:rPr>
          <w:t xml:space="preserve">[8]</w:t>
        </w:r>
      </w:hyperlink>
      <w:r>
        <w:t xml:space="preserve"> </w:t>
      </w:r>
      <w:hyperlink r:id="rId28">
        <w:r>
          <w:rPr>
            <w:rStyle w:val="Hyperlink"/>
          </w:rPr>
          <w:t xml:space="preserve">[17]</w:t>
        </w:r>
      </w:hyperlink>
      <w:r>
        <w:t xml:space="preserve"> </w:t>
      </w:r>
      <w:hyperlink r:id="rId28">
        <w:r>
          <w:rPr>
            <w:rStyle w:val="Hyperlink"/>
          </w:rPr>
          <w:t xml:space="preserve">[24]</w:t>
        </w:r>
      </w:hyperlink>
      <w:r>
        <w:t xml:space="preserve"> </w:t>
      </w:r>
      <w:r>
        <w:t xml:space="preserve">https://developer.tinkoff.ru/invest/intro/developer/protocols/grpc</w:t>
      </w:r>
    </w:p>
    <w:p>
      <w:pPr>
        <w:pStyle w:val="BodyText"/>
      </w:pPr>
      <w:hyperlink r:id="rId28">
        <w:r>
          <w:rPr>
            <w:rStyle w:val="Hyperlink"/>
          </w:rPr>
          <w:t xml:space="preserve">https://developer.tinkoff.ru/invest/intro/developer/protocols/grpc</w:t>
        </w:r>
      </w:hyperlink>
    </w:p>
    <w:p>
      <w:pPr>
        <w:pStyle w:val="BodyText"/>
      </w:pPr>
      <w:hyperlink r:id="rId29">
        <w:r>
          <w:rPr>
            <w:rStyle w:val="Hyperlink"/>
          </w:rPr>
          <w:t xml:space="preserve">[9]</w:t>
        </w:r>
      </w:hyperlink>
      <w:r>
        <w:t xml:space="preserve"> </w:t>
      </w:r>
      <w:r>
        <w:t xml:space="preserve">https://tinkoff.github.io/investAPI/faq_trading_status/</w:t>
      </w:r>
    </w:p>
    <w:p>
      <w:pPr>
        <w:pStyle w:val="BodyText"/>
      </w:pPr>
      <w:hyperlink r:id="rId29">
        <w:r>
          <w:rPr>
            <w:rStyle w:val="Hyperlink"/>
          </w:rPr>
          <w:t xml:space="preserve">https://tinkoff.github.io/investAPI/faq_trading_status/</w:t>
        </w:r>
      </w:hyperlink>
    </w:p>
    <w:p>
      <w:pPr>
        <w:pStyle w:val="BodyText"/>
      </w:pPr>
      <w:hyperlink r:id="rId31">
        <w:r>
          <w:rPr>
            <w:rStyle w:val="Hyperlink"/>
          </w:rPr>
          <w:t xml:space="preserve">[11]</w:t>
        </w:r>
      </w:hyperlink>
      <w:r>
        <w:t xml:space="preserve"> </w:t>
      </w:r>
      <w:r>
        <w:t xml:space="preserve">https://docs.docker.com/reference/compose-file/</w:t>
      </w:r>
    </w:p>
    <w:p>
      <w:pPr>
        <w:pStyle w:val="BodyText"/>
      </w:pPr>
      <w:hyperlink r:id="rId31">
        <w:r>
          <w:rPr>
            <w:rStyle w:val="Hyperlink"/>
          </w:rPr>
          <w:t xml:space="preserve">https://docs.docker.com/reference/compose-file/</w:t>
        </w:r>
      </w:hyperlink>
    </w:p>
    <w:p>
      <w:pPr>
        <w:pStyle w:val="BodyText"/>
      </w:pPr>
      <w:hyperlink r:id="rId32">
        <w:r>
          <w:rPr>
            <w:rStyle w:val="Hyperlink"/>
          </w:rPr>
          <w:t xml:space="preserve">[12]</w:t>
        </w:r>
      </w:hyperlink>
      <w:r>
        <w:t xml:space="preserve"> </w:t>
      </w:r>
      <w:hyperlink r:id="rId32">
        <w:r>
          <w:rPr>
            <w:rStyle w:val="Hyperlink"/>
          </w:rPr>
          <w:t xml:space="preserve">[18]</w:t>
        </w:r>
      </w:hyperlink>
      <w:r>
        <w:t xml:space="preserve"> </w:t>
      </w:r>
      <w:r>
        <w:t xml:space="preserve">https://developer.tinkoff.ru/invest/api/instruments-service-trading-schedules</w:t>
      </w:r>
    </w:p>
    <w:p>
      <w:pPr>
        <w:pStyle w:val="BodyText"/>
      </w:pPr>
      <w:hyperlink r:id="rId32">
        <w:r>
          <w:rPr>
            <w:rStyle w:val="Hyperlink"/>
          </w:rPr>
          <w:t xml:space="preserve">https://developer.tinkoff.ru/invest/api/instruments-service-trading-schedules</w:t>
        </w:r>
      </w:hyperlink>
    </w:p>
    <w:p>
      <w:pPr>
        <w:pStyle w:val="BodyText"/>
      </w:pPr>
      <w:hyperlink r:id="rId33">
        <w:r>
          <w:rPr>
            <w:rStyle w:val="Hyperlink"/>
          </w:rPr>
          <w:t xml:space="preserve">[13]</w:t>
        </w:r>
      </w:hyperlink>
      <w:r>
        <w:t xml:space="preserve"> </w:t>
      </w:r>
      <w:r>
        <w:t xml:space="preserve">https://developer.tbank.ru/invest/api/orders-service-post-order</w:t>
      </w:r>
    </w:p>
    <w:p>
      <w:pPr>
        <w:pStyle w:val="BodyText"/>
      </w:pPr>
      <w:hyperlink r:id="rId33">
        <w:r>
          <w:rPr>
            <w:rStyle w:val="Hyperlink"/>
          </w:rPr>
          <w:t xml:space="preserve">https://developer.tbank.ru/invest/api/orders-service-post-order</w:t>
        </w:r>
      </w:hyperlink>
    </w:p>
    <w:p>
      <w:pPr>
        <w:pStyle w:val="BodyText"/>
      </w:pPr>
      <w:hyperlink r:id="rId34">
        <w:r>
          <w:rPr>
            <w:rStyle w:val="Hyperlink"/>
          </w:rPr>
          <w:t xml:space="preserve">[14]</w:t>
        </w:r>
      </w:hyperlink>
      <w:r>
        <w:t xml:space="preserve"> </w:t>
      </w:r>
      <w:r>
        <w:t xml:space="preserve">https://developer.tinkoff.ru/invest/intro/developer/protocols/ws</w:t>
      </w:r>
    </w:p>
    <w:p>
      <w:pPr>
        <w:pStyle w:val="BodyText"/>
      </w:pPr>
      <w:hyperlink r:id="rId34">
        <w:r>
          <w:rPr>
            <w:rStyle w:val="Hyperlink"/>
          </w:rPr>
          <w:t xml:space="preserve">https://developer.tinkoff.ru/invest/intro/developer/protocols/ws</w:t>
        </w:r>
      </w:hyperlink>
    </w:p>
    <w:p>
      <w:pPr>
        <w:pStyle w:val="BodyText"/>
      </w:pPr>
      <w:hyperlink r:id="rId35">
        <w:r>
          <w:rPr>
            <w:rStyle w:val="Hyperlink"/>
          </w:rPr>
          <w:t xml:space="preserve">[15]</w:t>
        </w:r>
      </w:hyperlink>
      <w:r>
        <w:t xml:space="preserve"> </w:t>
      </w:r>
      <w:hyperlink r:id="rId35">
        <w:r>
          <w:rPr>
            <w:rStyle w:val="Hyperlink"/>
          </w:rPr>
          <w:t xml:space="preserve">[31]</w:t>
        </w:r>
      </w:hyperlink>
      <w:r>
        <w:t xml:space="preserve"> </w:t>
      </w:r>
      <w:r>
        <w:t xml:space="preserve">https://fastapi.tiangolo.com/advanced/websockets/</w:t>
      </w:r>
    </w:p>
    <w:p>
      <w:pPr>
        <w:pStyle w:val="BodyText"/>
      </w:pPr>
      <w:hyperlink r:id="rId35">
        <w:r>
          <w:rPr>
            <w:rStyle w:val="Hyperlink"/>
          </w:rPr>
          <w:t xml:space="preserve">https://fastapi.tiangolo.com/advanced/websockets/</w:t>
        </w:r>
      </w:hyperlink>
    </w:p>
    <w:p>
      <w:pPr>
        <w:pStyle w:val="BodyText"/>
      </w:pPr>
      <w:hyperlink r:id="rId36">
        <w:r>
          <w:rPr>
            <w:rStyle w:val="Hyperlink"/>
          </w:rPr>
          <w:t xml:space="preserve">[16]</w:t>
        </w:r>
      </w:hyperlink>
      <w:r>
        <w:t xml:space="preserve"> </w:t>
      </w:r>
      <w:r>
        <w:t xml:space="preserve">https://docs.docker.com/compose/how-tos/use-secrets/</w:t>
      </w:r>
    </w:p>
    <w:p>
      <w:pPr>
        <w:pStyle w:val="BodyText"/>
      </w:pPr>
      <w:hyperlink r:id="rId36">
        <w:r>
          <w:rPr>
            <w:rStyle w:val="Hyperlink"/>
          </w:rPr>
          <w:t xml:space="preserve">https://docs.docker.com/compose/how-tos/use-secrets/</w:t>
        </w:r>
      </w:hyperlink>
    </w:p>
    <w:p>
      <w:pPr>
        <w:pStyle w:val="BodyText"/>
      </w:pPr>
      <w:hyperlink r:id="rId39">
        <w:r>
          <w:rPr>
            <w:rStyle w:val="Hyperlink"/>
          </w:rPr>
          <w:t xml:space="preserve">[23]</w:t>
        </w:r>
      </w:hyperlink>
      <w:r>
        <w:t xml:space="preserve"> </w:t>
      </w:r>
      <w:r>
        <w:t xml:space="preserve">https://docs.python.org/3/howto/logging-cookbook.html</w:t>
      </w:r>
    </w:p>
    <w:p>
      <w:pPr>
        <w:pStyle w:val="BodyText"/>
      </w:pPr>
      <w:hyperlink r:id="rId39">
        <w:r>
          <w:rPr>
            <w:rStyle w:val="Hyperlink"/>
          </w:rPr>
          <w:t xml:space="preserve">https://docs.python.org/3/howto/logging-cookbook.html</w:t>
        </w:r>
      </w:hyperlink>
    </w:p>
    <w:p>
      <w:pPr>
        <w:pStyle w:val="BodyText"/>
      </w:pPr>
      <w:hyperlink r:id="rId40">
        <w:r>
          <w:rPr>
            <w:rStyle w:val="Hyperlink"/>
          </w:rPr>
          <w:t xml:space="preserve">[25]</w:t>
        </w:r>
      </w:hyperlink>
      <w:r>
        <w:t xml:space="preserve"> </w:t>
      </w:r>
      <w:r>
        <w:t xml:space="preserve">https://grafana.com/docs/loki/latest/</w:t>
      </w:r>
    </w:p>
    <w:p>
      <w:pPr>
        <w:pStyle w:val="BodyText"/>
      </w:pPr>
      <w:hyperlink r:id="rId40">
        <w:r>
          <w:rPr>
            <w:rStyle w:val="Hyperlink"/>
          </w:rPr>
          <w:t xml:space="preserve">https://grafana.com/docs/loki/latest/</w:t>
        </w:r>
      </w:hyperlink>
    </w:p>
    <w:p>
      <w:pPr>
        <w:pStyle w:val="BodyText"/>
      </w:pPr>
      <w:hyperlink r:id="rId41">
        <w:r>
          <w:rPr>
            <w:rStyle w:val="Hyperlink"/>
          </w:rPr>
          <w:t xml:space="preserve">[26]</w:t>
        </w:r>
      </w:hyperlink>
      <w:r>
        <w:t xml:space="preserve"> </w:t>
      </w:r>
      <w:r>
        <w:t xml:space="preserve">https://www.postgresql.org/docs/current/ddl-partitioning.html</w:t>
      </w:r>
    </w:p>
    <w:p>
      <w:pPr>
        <w:pStyle w:val="BodyText"/>
      </w:pPr>
      <w:hyperlink r:id="rId41">
        <w:r>
          <w:rPr>
            <w:rStyle w:val="Hyperlink"/>
          </w:rPr>
          <w:t xml:space="preserve">https://www.postgresql.org/docs/current/ddl-partitioning.html</w:t>
        </w:r>
      </w:hyperlink>
    </w:p>
    <w:p>
      <w:pPr>
        <w:pStyle w:val="BodyText"/>
      </w:pPr>
      <w:hyperlink r:id="rId42">
        <w:r>
          <w:rPr>
            <w:rStyle w:val="Hyperlink"/>
          </w:rPr>
          <w:t xml:space="preserve">[27]</w:t>
        </w:r>
      </w:hyperlink>
      <w:r>
        <w:t xml:space="preserve"> </w:t>
      </w:r>
      <w:hyperlink r:id="rId42">
        <w:r>
          <w:rPr>
            <w:rStyle w:val="Hyperlink"/>
          </w:rPr>
          <w:t xml:space="preserve">[29]</w:t>
        </w:r>
      </w:hyperlink>
      <w:r>
        <w:t xml:space="preserve"> </w:t>
      </w:r>
      <w:r>
        <w:t xml:space="preserve">https://prometheus.github.io/client_python/instrumenting/histogram/</w:t>
      </w:r>
    </w:p>
    <w:p>
      <w:pPr>
        <w:pStyle w:val="BodyText"/>
      </w:pPr>
      <w:hyperlink r:id="rId42">
        <w:r>
          <w:rPr>
            <w:rStyle w:val="Hyperlink"/>
          </w:rPr>
          <w:t xml:space="preserve">https://prometheus.github.io/client_python/instrumenting/histogram/</w:t>
        </w:r>
      </w:hyperlink>
    </w:p>
    <w:p>
      <w:pPr>
        <w:pStyle w:val="BodyText"/>
      </w:pPr>
      <w:hyperlink r:id="rId43">
        <w:r>
          <w:rPr>
            <w:rStyle w:val="Hyperlink"/>
          </w:rPr>
          <w:t xml:space="preserve">[28]</w:t>
        </w:r>
      </w:hyperlink>
      <w:r>
        <w:t xml:space="preserve"> </w:t>
      </w:r>
      <w:r>
        <w:t xml:space="preserve">https://fastapi.tiangolo.com/tutorial/background-tasks/</w:t>
      </w:r>
    </w:p>
    <w:p>
      <w:pPr>
        <w:pStyle w:val="BodyText"/>
      </w:pPr>
      <w:hyperlink r:id="rId43">
        <w:r>
          <w:rPr>
            <w:rStyle w:val="Hyperlink"/>
          </w:rPr>
          <w:t xml:space="preserve">https://fastapi.tiangolo.com/tutorial/background-tasks/</w:t>
        </w:r>
      </w:hyperlink>
    </w:p>
    <w:p>
      <w:pPr>
        <w:pStyle w:val="BodyText"/>
      </w:pPr>
      <w:hyperlink r:id="rId45">
        <w:r>
          <w:rPr>
            <w:rStyle w:val="Hyperlink"/>
          </w:rPr>
          <w:t xml:space="preserve">[30]</w:t>
        </w:r>
      </w:hyperlink>
      <w:r>
        <w:t xml:space="preserve"> </w:t>
      </w:r>
      <w:r>
        <w:t xml:space="preserve">https://developer.tinkoff.ru/invest/sdk/python_sdk/faq_python</w:t>
      </w:r>
    </w:p>
    <w:p>
      <w:pPr>
        <w:pStyle w:val="BodyText"/>
      </w:pPr>
      <w:hyperlink r:id="rId45">
        <w:r>
          <w:rPr>
            <w:rStyle w:val="Hyperlink"/>
          </w:rPr>
          <w:t xml:space="preserve">https://developer.tinkoff.ru/invest/sdk/python_sdk/faq_python</w:t>
        </w:r>
      </w:hyperlink>
    </w:p>
    <w:p>
      <w:pPr>
        <w:pStyle w:val="BodyText"/>
      </w:pPr>
      <w:hyperlink r:id="rId46">
        <w:r>
          <w:rPr>
            <w:rStyle w:val="Hyperlink"/>
          </w:rPr>
          <w:t xml:space="preserve">[32]</w:t>
        </w:r>
      </w:hyperlink>
      <w:r>
        <w:t xml:space="preserve"> </w:t>
      </w:r>
      <w:r>
        <w:t xml:space="preserve">https://developer.tinkoff.ru/invest/intro/developer/deadlines</w:t>
      </w:r>
    </w:p>
    <w:p>
      <w:pPr>
        <w:pStyle w:val="BodyText"/>
      </w:pPr>
      <w:hyperlink r:id="rId46">
        <w:r>
          <w:rPr>
            <w:rStyle w:val="Hyperlink"/>
          </w:rPr>
          <w:t xml:space="preserve">https://developer.tinkoff.ru/invest/intro/developer/deadlines</w:t>
        </w:r>
      </w:hyperlink>
    </w:p>
    <w:p>
      <w:pPr>
        <w:pStyle w:val="BodyText"/>
      </w:pPr>
      <w:hyperlink r:id="rId47">
        <w:r>
          <w:rPr>
            <w:rStyle w:val="Hyperlink"/>
          </w:rPr>
          <w:t xml:space="preserve">[33]</w:t>
        </w:r>
      </w:hyperlink>
      <w:r>
        <w:t xml:space="preserve"> </w:t>
      </w:r>
      <w:r>
        <w:t xml:space="preserve">https://developer.tinkoff.ru/invest/intro/developer/sandbox/</w:t>
      </w:r>
    </w:p>
    <w:p>
      <w:pPr>
        <w:pStyle w:val="BodyText"/>
      </w:pPr>
      <w:hyperlink r:id="rId47">
        <w:r>
          <w:rPr>
            <w:rStyle w:val="Hyperlink"/>
          </w:rPr>
          <w:t xml:space="preserve">https://developer.tinkoff.ru/invest/intro/developer/sandbox/</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s://developer.tbank.ru/invest/api/orders-service-post-order" TargetMode="External" /><Relationship Type="http://schemas.openxmlformats.org/officeDocument/2006/relationships/hyperlink" Id="rId32" Target="https://developer.tinkoff.ru/invest/api/instruments-service-trading-schedules" TargetMode="External" /><Relationship Type="http://schemas.openxmlformats.org/officeDocument/2006/relationships/hyperlink" Id="rId46" Target="https://developer.tinkoff.ru/invest/intro/developer/deadlines" TargetMode="External" /><Relationship Type="http://schemas.openxmlformats.org/officeDocument/2006/relationships/hyperlink" Id="rId21" Target="https://developer.tinkoff.ru/invest/intro/developer/protocols/" TargetMode="External" /><Relationship Type="http://schemas.openxmlformats.org/officeDocument/2006/relationships/hyperlink" Id="rId28" Target="https://developer.tinkoff.ru/invest/intro/developer/protocols/grpc" TargetMode="External" /><Relationship Type="http://schemas.openxmlformats.org/officeDocument/2006/relationships/hyperlink" Id="rId34" Target="https://developer.tinkoff.ru/invest/intro/developer/protocols/ws" TargetMode="External" /><Relationship Type="http://schemas.openxmlformats.org/officeDocument/2006/relationships/hyperlink" Id="rId47" Target="https://developer.tinkoff.ru/invest/intro/developer/sandbox/" TargetMode="External" /><Relationship Type="http://schemas.openxmlformats.org/officeDocument/2006/relationships/hyperlink" Id="rId23" Target="https://developer.tinkoff.ru/invest/intro/developer/stream" TargetMode="External" /><Relationship Type="http://schemas.openxmlformats.org/officeDocument/2006/relationships/hyperlink" Id="rId45" Target="https://developer.tinkoff.ru/invest/sdk/python_sdk/faq_python" TargetMode="External" /><Relationship Type="http://schemas.openxmlformats.org/officeDocument/2006/relationships/hyperlink" Id="rId36" Target="https://docs.docker.com/compose/how-tos/use-secrets/" TargetMode="External" /><Relationship Type="http://schemas.openxmlformats.org/officeDocument/2006/relationships/hyperlink" Id="rId31" Target="https://docs.docker.com/reference/compose-file/" TargetMode="External" /><Relationship Type="http://schemas.openxmlformats.org/officeDocument/2006/relationships/hyperlink" Id="rId39" Target="https://docs.python.org/3/howto/logging-cookbook.html" TargetMode="External" /><Relationship Type="http://schemas.openxmlformats.org/officeDocument/2006/relationships/hyperlink" Id="rId35" Target="https://fastapi.tiangolo.com/advanced/websockets/" TargetMode="External" /><Relationship Type="http://schemas.openxmlformats.org/officeDocument/2006/relationships/hyperlink" Id="rId43" Target="https://fastapi.tiangolo.com/tutorial/background-tasks/" TargetMode="External" /><Relationship Type="http://schemas.openxmlformats.org/officeDocument/2006/relationships/hyperlink" Id="rId40" Target="https://grafana.com/docs/loki/latest/" TargetMode="External" /><Relationship Type="http://schemas.openxmlformats.org/officeDocument/2006/relationships/hyperlink" Id="rId42" Target="https://prometheus.github.io/client_python/instrumenting/histogram/" TargetMode="External" /><Relationship Type="http://schemas.openxmlformats.org/officeDocument/2006/relationships/hyperlink" Id="rId29" Target="https://tinkoff.github.io/investAPI/faq_trading_status/" TargetMode="External" /><Relationship Type="http://schemas.openxmlformats.org/officeDocument/2006/relationships/hyperlink" Id="rId22" Target="https://www.moex.com/en/stocks/sber" TargetMode="External" /><Relationship Type="http://schemas.openxmlformats.org/officeDocument/2006/relationships/hyperlink" Id="rId25" Target="https://www.moex.com/s1167" TargetMode="External" /><Relationship Type="http://schemas.openxmlformats.org/officeDocument/2006/relationships/hyperlink" Id="rId26" Target="https://www.moex.com/s3790" TargetMode="External" /><Relationship Type="http://schemas.openxmlformats.org/officeDocument/2006/relationships/hyperlink" Id="rId41" Target="https://www.postgresql.org/docs/current/ddl-partitioning.html" TargetMode="External" /><Relationship Type="http://schemas.openxmlformats.org/officeDocument/2006/relationships/hyperlink" Id="rId27" Target="https://www.tbank.ru/invest/tariffs/" TargetMode="External" /></Relationships>
</file>

<file path=word/_rels/footnotes.xml.rels><?xml version="1.0" encoding="UTF-8"?><Relationships xmlns="http://schemas.openxmlformats.org/package/2006/relationships"><Relationship Type="http://schemas.openxmlformats.org/officeDocument/2006/relationships/hyperlink" Id="rId33" Target="https://developer.tbank.ru/invest/api/orders-service-post-order" TargetMode="External" /><Relationship Type="http://schemas.openxmlformats.org/officeDocument/2006/relationships/hyperlink" Id="rId32" Target="https://developer.tinkoff.ru/invest/api/instruments-service-trading-schedules" TargetMode="External" /><Relationship Type="http://schemas.openxmlformats.org/officeDocument/2006/relationships/hyperlink" Id="rId46" Target="https://developer.tinkoff.ru/invest/intro/developer/deadlines" TargetMode="External" /><Relationship Type="http://schemas.openxmlformats.org/officeDocument/2006/relationships/hyperlink" Id="rId21" Target="https://developer.tinkoff.ru/invest/intro/developer/protocols/" TargetMode="External" /><Relationship Type="http://schemas.openxmlformats.org/officeDocument/2006/relationships/hyperlink" Id="rId28" Target="https://developer.tinkoff.ru/invest/intro/developer/protocols/grpc" TargetMode="External" /><Relationship Type="http://schemas.openxmlformats.org/officeDocument/2006/relationships/hyperlink" Id="rId34" Target="https://developer.tinkoff.ru/invest/intro/developer/protocols/ws" TargetMode="External" /><Relationship Type="http://schemas.openxmlformats.org/officeDocument/2006/relationships/hyperlink" Id="rId47" Target="https://developer.tinkoff.ru/invest/intro/developer/sandbox/" TargetMode="External" /><Relationship Type="http://schemas.openxmlformats.org/officeDocument/2006/relationships/hyperlink" Id="rId23" Target="https://developer.tinkoff.ru/invest/intro/developer/stream" TargetMode="External" /><Relationship Type="http://schemas.openxmlformats.org/officeDocument/2006/relationships/hyperlink" Id="rId45" Target="https://developer.tinkoff.ru/invest/sdk/python_sdk/faq_python" TargetMode="External" /><Relationship Type="http://schemas.openxmlformats.org/officeDocument/2006/relationships/hyperlink" Id="rId36" Target="https://docs.docker.com/compose/how-tos/use-secrets/" TargetMode="External" /><Relationship Type="http://schemas.openxmlformats.org/officeDocument/2006/relationships/hyperlink" Id="rId31" Target="https://docs.docker.com/reference/compose-file/" TargetMode="External" /><Relationship Type="http://schemas.openxmlformats.org/officeDocument/2006/relationships/hyperlink" Id="rId39" Target="https://docs.python.org/3/howto/logging-cookbook.html" TargetMode="External" /><Relationship Type="http://schemas.openxmlformats.org/officeDocument/2006/relationships/hyperlink" Id="rId35" Target="https://fastapi.tiangolo.com/advanced/websockets/" TargetMode="External" /><Relationship Type="http://schemas.openxmlformats.org/officeDocument/2006/relationships/hyperlink" Id="rId43" Target="https://fastapi.tiangolo.com/tutorial/background-tasks/" TargetMode="External" /><Relationship Type="http://schemas.openxmlformats.org/officeDocument/2006/relationships/hyperlink" Id="rId40" Target="https://grafana.com/docs/loki/latest/" TargetMode="External" /><Relationship Type="http://schemas.openxmlformats.org/officeDocument/2006/relationships/hyperlink" Id="rId42" Target="https://prometheus.github.io/client_python/instrumenting/histogram/" TargetMode="External" /><Relationship Type="http://schemas.openxmlformats.org/officeDocument/2006/relationships/hyperlink" Id="rId29" Target="https://tinkoff.github.io/investAPI/faq_trading_status/" TargetMode="External" /><Relationship Type="http://schemas.openxmlformats.org/officeDocument/2006/relationships/hyperlink" Id="rId22" Target="https://www.moex.com/en/stocks/sber" TargetMode="External" /><Relationship Type="http://schemas.openxmlformats.org/officeDocument/2006/relationships/hyperlink" Id="rId25" Target="https://www.moex.com/s1167" TargetMode="External" /><Relationship Type="http://schemas.openxmlformats.org/officeDocument/2006/relationships/hyperlink" Id="rId26" Target="https://www.moex.com/s3790" TargetMode="External" /><Relationship Type="http://schemas.openxmlformats.org/officeDocument/2006/relationships/hyperlink" Id="rId41" Target="https://www.postgresql.org/docs/current/ddl-partitioning.html" TargetMode="External" /><Relationship Type="http://schemas.openxmlformats.org/officeDocument/2006/relationships/hyperlink" Id="rId27" Target="https://www.tbank.ru/invest/tariff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2026-06-13T12:23:31Z</dcterms:created>
  <dcterms:modified xsi:type="dcterms:W3CDTF">2026-06-13T12:23:31Z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