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50283">
      <w:pPr>
        <w:spacing w:after="12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A股量化回测系统项目任务书</w:t>
      </w:r>
    </w:p>
    <w:p w14:paraId="52BA0369">
      <w:pPr>
        <w:spacing w:after="36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（量化交易方向 · 新生招新二轮）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369F1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9AD00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w="4419" w:type="dxa"/>
          </w:tcPr>
          <w:p w14:paraId="71D1FE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内容</w:t>
            </w:r>
          </w:p>
        </w:tc>
      </w:tr>
      <w:tr w14:paraId="7315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5491E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提交截止</w:t>
            </w:r>
          </w:p>
        </w:tc>
        <w:tc>
          <w:tcPr>
            <w:tcW w:w="4419" w:type="dxa"/>
          </w:tcPr>
          <w:p w14:paraId="56AF02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 11 月 3 日 22:00（以 FTP 上传压缩包为准）</w:t>
            </w:r>
          </w:p>
        </w:tc>
      </w:tr>
      <w:tr w14:paraId="0F95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0F198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核验方式</w:t>
            </w:r>
          </w:p>
        </w:tc>
        <w:tc>
          <w:tcPr>
            <w:tcW w:w="4419" w:type="dxa"/>
          </w:tcPr>
          <w:p w14:paraId="5935A5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评委基于 FTP 提交包与包内 .git 提交历史核验</w:t>
            </w:r>
          </w:p>
        </w:tc>
      </w:tr>
      <w:tr w14:paraId="2A16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E4FF7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面向对象</w:t>
            </w:r>
          </w:p>
        </w:tc>
        <w:tc>
          <w:tcPr>
            <w:tcW w:w="4419" w:type="dxa"/>
          </w:tcPr>
          <w:p w14:paraId="14CE1A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简历初筛通过者，量化交易方向二轮筛选</w:t>
            </w:r>
          </w:p>
        </w:tc>
      </w:tr>
      <w:tr w14:paraId="79A9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07510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交付形式</w:t>
            </w:r>
          </w:p>
        </w:tc>
        <w:tc>
          <w:tcPr>
            <w:tcW w:w="4419" w:type="dxa"/>
          </w:tcPr>
          <w:p w14:paraId="3D7374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项目压缩包一份（上传 FTP）；不要求撰写报告</w:t>
            </w:r>
          </w:p>
        </w:tc>
      </w:tr>
      <w:tr w14:paraId="7EDA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FC674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工具要求</w:t>
            </w:r>
          </w:p>
        </w:tc>
        <w:tc>
          <w:tcPr>
            <w:tcW w:w="4419" w:type="dxa"/>
          </w:tcPr>
          <w:p w14:paraId="73F91C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Python、Git；AI 编程工具在 Trae、Qoder、WorkBuddy 中任选（可混用）</w:t>
            </w:r>
          </w:p>
        </w:tc>
      </w:tr>
    </w:tbl>
    <w:p w14:paraId="427F3C83">
      <w:pPr>
        <w:spacing w:after="0"/>
      </w:pPr>
    </w:p>
    <w:p w14:paraId="4E55CA19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一、项目概述与目标</w:t>
      </w:r>
    </w:p>
    <w:p w14:paraId="4ABE9987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本项目要求开发一个基于 A 股历史数据的量化回测工具，支持趋势跟踪、均值回复、多因子打分三种策略类型。参赛者对历史行情数据进行校验与清洗，实现策略信号生成与回测执行，输出绩效报告；通过参数寻优改进策略，并在未参与调优的历史时段上验证效果，防止过拟合。</w:t>
      </w:r>
    </w:p>
    <w:p w14:paraId="39167715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基本流程：获取行情数据 → 校验与清洗 → 策略回测 → 绩效分析 → 参数寻优 → 样本外验证 ……（循环）</w:t>
      </w:r>
    </w:p>
    <w:p w14:paraId="72010FE1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本项目代码全部由参赛者从零编写，主办方提供基础行情数据、样例与舆情打分等任务资料（见第四部分）；可全程借助 AI 编程工具辅助开发，交付可运行、能得出有效回测结论的软件。</w:t>
      </w:r>
    </w:p>
    <w:p w14:paraId="1A0DC73B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二、任务要求</w:t>
      </w:r>
    </w:p>
    <w:p w14:paraId="238AF3A2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（一）功能要求（软件须全部实现）</w:t>
      </w:r>
    </w:p>
    <w:p w14:paraId="5A5C87BD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三种策略模式：趋势跟踪、均值回复、多因子打分，策略类型与参数均可配置切换；</w:t>
      </w:r>
    </w:p>
    <w:p w14:paraId="4848CC0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数据校验与清洗：对行情数据自动检查缺失、异常与复权错误，输出校验报告；</w:t>
      </w:r>
    </w:p>
    <w:p w14:paraId="4B0512A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回测引擎：信号当日收盘计算、次日开盘价成交，遵守 T+1、涨跌停不成交、停牌不可交易规则，计入佣金与印花税；系统须支持以命令行指定策略、参数与起止日期运行；</w:t>
      </w:r>
    </w:p>
    <w:p w14:paraId="5CE03EF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绩效分析：年化收益、最大回撤、夏普比率、胜率，净值曲线与沪深300 对比；</w:t>
      </w:r>
    </w:p>
    <w:p w14:paraId="6753742E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参数寻优：网格搜索，样本内、样本外时段切分，输出最优参数组；</w:t>
      </w:r>
    </w:p>
    <w:p w14:paraId="45143CE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 实验记录自动导出：每次回测自动落一条记录（策略、参数、样本内外指标），形成对比结果。</w:t>
      </w:r>
    </w:p>
    <w:p w14:paraId="1D627BE8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（二）数据要求</w:t>
      </w:r>
    </w:p>
    <w:p w14:paraId="2FD70ABB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固定股票池十只（不得更改），官方提供股票代码清单与基础行情数据；</w:t>
      </w:r>
    </w:p>
    <w:p w14:paraId="0085E12E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覆盖不少于 6 只股票；实验记录不少于 60 条（仅计策略或参数有实际变化的实验）；</w:t>
      </w:r>
    </w:p>
    <w:p w14:paraId="3CEF2A47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数据规格：2019 年 1 月 1 日至 2024 年 12 月 31 日日线、前复权，官方数据包已提供；自行补充下载的数据须注明来源；</w:t>
      </w:r>
    </w:p>
    <w:p w14:paraId="7799E1DC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行情数据可能存在缺失、异常与复权错误等问题，数据校验与清洗是核心工作，不得跳过。</w:t>
      </w:r>
    </w:p>
    <w:p w14:paraId="53890980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（三）成果要求</w:t>
      </w:r>
    </w:p>
    <w:p w14:paraId="7BB8C0D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可完整运行的软件（含一键启动方式）；</w:t>
      </w:r>
    </w:p>
    <w:p w14:paraId="1E7A216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自研最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4"/>
        </w:rPr>
        <w:t>优策略配置 strategy.json（含策略类型、参数、样本内外指标）；</w:t>
      </w:r>
    </w:p>
    <w:p w14:paraId="76911CC4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实验记录与对比结果（均由平台自动导出）；</w:t>
      </w:r>
    </w:p>
    <w:p w14:paraId="0E9F6FE7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按 README 在未配置过的电脑上 10 分钟内可复现。</w:t>
      </w:r>
    </w:p>
    <w:p w14:paraId="1CFE5E04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（四）不得更改项</w:t>
      </w:r>
    </w:p>
    <w:p w14:paraId="3D7643E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固定股票池与费率规则、回测撮合规则（T+1、涨跌停、停牌）、任务要求全部条目。</w:t>
      </w:r>
    </w:p>
    <w:p w14:paraId="53A57A43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三、环境与工具准备</w:t>
      </w:r>
    </w:p>
    <w:p w14:paraId="6E0B1782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（一）软件清单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42D58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A80B5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软件</w:t>
            </w:r>
          </w:p>
        </w:tc>
        <w:tc>
          <w:tcPr>
            <w:tcW w:w="2946" w:type="dxa"/>
          </w:tcPr>
          <w:p w14:paraId="1C33AC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用途</w:t>
            </w:r>
          </w:p>
        </w:tc>
        <w:tc>
          <w:tcPr>
            <w:tcW w:w="2946" w:type="dxa"/>
          </w:tcPr>
          <w:p w14:paraId="799AE8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获取方式</w:t>
            </w:r>
          </w:p>
        </w:tc>
      </w:tr>
      <w:tr w14:paraId="4270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5EFE9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Miniforge（推荐，Miniconda 亦可）</w:t>
            </w:r>
          </w:p>
        </w:tc>
        <w:tc>
          <w:tcPr>
            <w:tcW w:w="2946" w:type="dxa"/>
          </w:tcPr>
          <w:p w14:paraId="4FC8FE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环境管理（conda）</w:t>
            </w:r>
          </w:p>
        </w:tc>
        <w:tc>
          <w:tcPr>
            <w:tcW w:w="2946" w:type="dxa"/>
          </w:tcPr>
          <w:p w14:paraId="1F6519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官网或清华镜像下载</w:t>
            </w:r>
          </w:p>
        </w:tc>
      </w:tr>
      <w:tr w14:paraId="4680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D61B3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Trae / Qoder / WorkBuddy 任选</w:t>
            </w:r>
          </w:p>
        </w:tc>
        <w:tc>
          <w:tcPr>
            <w:tcW w:w="2946" w:type="dxa"/>
          </w:tcPr>
          <w:p w14:paraId="67ED4D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编程工具</w:t>
            </w:r>
          </w:p>
        </w:tc>
        <w:tc>
          <w:tcPr>
            <w:tcW w:w="2946" w:type="dxa"/>
          </w:tcPr>
          <w:p w14:paraId="522B87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官网下载，可任选混用</w:t>
            </w:r>
          </w:p>
        </w:tc>
      </w:tr>
      <w:tr w14:paraId="042E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AA03D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与 GitHub 账号</w:t>
            </w:r>
          </w:p>
        </w:tc>
        <w:tc>
          <w:tcPr>
            <w:tcW w:w="2946" w:type="dxa"/>
          </w:tcPr>
          <w:p w14:paraId="1E5543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代码版本管理与异地备份</w:t>
            </w:r>
          </w:p>
        </w:tc>
        <w:tc>
          <w:tcPr>
            <w:tcW w:w="2946" w:type="dxa"/>
          </w:tcPr>
          <w:p w14:paraId="6C9B3A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git-scm.com 下载；github.com 注册</w:t>
            </w:r>
          </w:p>
        </w:tc>
      </w:tr>
      <w:tr w14:paraId="3992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9463A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浏览器（Edge 或 Chrome）</w:t>
            </w:r>
          </w:p>
        </w:tc>
        <w:tc>
          <w:tcPr>
            <w:tcW w:w="2946" w:type="dxa"/>
          </w:tcPr>
          <w:p w14:paraId="183F2E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查看绩效报告页</w:t>
            </w:r>
          </w:p>
        </w:tc>
        <w:tc>
          <w:tcPr>
            <w:tcW w:w="2946" w:type="dxa"/>
          </w:tcPr>
          <w:p w14:paraId="3ACD75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系统自带，无需安装</w:t>
            </w:r>
          </w:p>
        </w:tc>
      </w:tr>
    </w:tbl>
    <w:p w14:paraId="5E0E8905">
      <w:pPr>
        <w:spacing w:after="0"/>
      </w:pPr>
    </w:p>
    <w:p w14:paraId="65337C7C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（二）环境搭建与依赖安装</w:t>
      </w:r>
    </w:p>
    <w:p w14:paraId="463CD8BA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自行创建项目目录，在 Miniforge Prompt 中进入项目目录，依次执行以下命令：</w:t>
      </w:r>
    </w:p>
    <w:p w14:paraId="6E33021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cd 项目目录（例如：cd D:\quant）</w:t>
      </w:r>
    </w:p>
    <w:p w14:paraId="4F62168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conda create -n quant python=3.10 -y</w:t>
      </w:r>
    </w:p>
    <w:p w14:paraId="0B9CD40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conda activate quant</w:t>
      </w:r>
    </w:p>
    <w:p w14:paraId="25DF958B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pip install akshare pandas matplotlib flask -i https://pypi.tuna.tsinghua.edu.cn/simple</w:t>
      </w:r>
    </w:p>
    <w:p w14:paraId="50E9497A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核心依赖为 akshare、pandas、matplotlib、flask 四个；也可自行编写 requirements.txt 统一管理。</w:t>
      </w:r>
    </w:p>
    <w:p w14:paraId="551524FA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（三）环境验证</w:t>
      </w:r>
    </w:p>
    <w:p w14:paraId="180302E7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执行以下命令，输出“环境 OK”即为通过：</w:t>
      </w:r>
    </w:p>
    <w:p w14:paraId="2393510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python -c "import akshare, pandas, matplotlib, flask; print('环境 OK')"</w:t>
      </w:r>
    </w:p>
    <w:p w14:paraId="305E50D3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（四）常见问题对照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071F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17D74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现象</w:t>
            </w:r>
          </w:p>
        </w:tc>
        <w:tc>
          <w:tcPr>
            <w:tcW w:w="2946" w:type="dxa"/>
          </w:tcPr>
          <w:p w14:paraId="3C707A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原因</w:t>
            </w:r>
          </w:p>
        </w:tc>
        <w:tc>
          <w:tcPr>
            <w:tcW w:w="2946" w:type="dxa"/>
          </w:tcPr>
          <w:p w14:paraId="441A4F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处理方法</w:t>
            </w:r>
          </w:p>
        </w:tc>
      </w:tr>
      <w:tr w14:paraId="35C20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4E00D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pip 安装失败</w:t>
            </w:r>
          </w:p>
        </w:tc>
        <w:tc>
          <w:tcPr>
            <w:tcW w:w="2946" w:type="dxa"/>
          </w:tcPr>
          <w:p w14:paraId="6FECE7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未创建或未激活 conda 环境</w:t>
            </w:r>
          </w:p>
        </w:tc>
        <w:tc>
          <w:tcPr>
            <w:tcW w:w="2946" w:type="dxa"/>
          </w:tcPr>
          <w:p w14:paraId="775845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确认已执行 conda create 与 conda activate 后重试</w:t>
            </w:r>
          </w:p>
        </w:tc>
      </w:tr>
      <w:tr w14:paraId="43020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2AE96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找不到 conda 命令</w:t>
            </w:r>
          </w:p>
        </w:tc>
        <w:tc>
          <w:tcPr>
            <w:tcW w:w="2946" w:type="dxa"/>
          </w:tcPr>
          <w:p w14:paraId="24871E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未使用 Miniforge 自带终端</w:t>
            </w:r>
          </w:p>
        </w:tc>
        <w:tc>
          <w:tcPr>
            <w:tcW w:w="2946" w:type="dxa"/>
          </w:tcPr>
          <w:p w14:paraId="624042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使用开始菜单中的 Miniforge Prompt</w:t>
            </w:r>
          </w:p>
        </w:tc>
      </w:tr>
      <w:tr w14:paraId="5104B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EEC78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pip 下载缓慢或超时</w:t>
            </w:r>
          </w:p>
        </w:tc>
        <w:tc>
          <w:tcPr>
            <w:tcW w:w="2946" w:type="dxa"/>
          </w:tcPr>
          <w:p w14:paraId="71D778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默认源在境外</w:t>
            </w:r>
          </w:p>
        </w:tc>
        <w:tc>
          <w:tcPr>
            <w:tcW w:w="2946" w:type="dxa"/>
          </w:tcPr>
          <w:p w14:paraId="373921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命令末尾添加清华源参数 -i</w:t>
            </w:r>
          </w:p>
        </w:tc>
      </w:tr>
      <w:tr w14:paraId="50A9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56757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akshare 接口超时</w:t>
            </w:r>
          </w:p>
        </w:tc>
        <w:tc>
          <w:tcPr>
            <w:tcW w:w="2946" w:type="dxa"/>
          </w:tcPr>
          <w:p w14:paraId="7DF258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网络受限或接口变动</w:t>
            </w:r>
          </w:p>
        </w:tc>
        <w:tc>
          <w:tcPr>
            <w:tcW w:w="2946" w:type="dxa"/>
          </w:tcPr>
          <w:p w14:paraId="2805BB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稍后重试；基础数据已随数据包提供，不影响进度</w:t>
            </w:r>
          </w:p>
        </w:tc>
      </w:tr>
      <w:tr w14:paraId="0B6B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F6676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matplotlib 图内中文乱码</w:t>
            </w:r>
          </w:p>
        </w:tc>
        <w:tc>
          <w:tcPr>
            <w:tcW w:w="2946" w:type="dxa"/>
          </w:tcPr>
          <w:p w14:paraId="7C1B37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系统字体配置</w:t>
            </w:r>
          </w:p>
        </w:tc>
        <w:tc>
          <w:tcPr>
            <w:tcW w:w="2946" w:type="dxa"/>
          </w:tcPr>
          <w:p w14:paraId="780A2E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在绘图代码中设置中文字体，可请 AI 编程工具生成配置代码</w:t>
            </w:r>
          </w:p>
        </w:tc>
      </w:tr>
      <w:tr w14:paraId="34C7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DC341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push 失败</w:t>
            </w:r>
          </w:p>
        </w:tc>
        <w:tc>
          <w:tcPr>
            <w:tcW w:w="2946" w:type="dxa"/>
          </w:tcPr>
          <w:p w14:paraId="5B044A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未配置账号或网络受限</w:t>
            </w:r>
          </w:p>
        </w:tc>
        <w:tc>
          <w:tcPr>
            <w:tcW w:w="2946" w:type="dxa"/>
          </w:tcPr>
          <w:p w14:paraId="2BB03F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 AI 编程工具索取配置步骤；必要时使用校园网或热点</w:t>
            </w:r>
          </w:p>
        </w:tc>
      </w:tr>
    </w:tbl>
    <w:p w14:paraId="3DF58CE2">
      <w:pPr>
        <w:spacing w:after="0"/>
      </w:pPr>
    </w:p>
    <w:p w14:paraId="24E650D3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问题处理顺序：查阅本章常见问题对照表 → 咨询 AI 编程工具 → 在招新群联系工作室。</w:t>
      </w:r>
    </w:p>
    <w:p w14:paraId="5B2A9FDC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四、数据获取（A 股历史行情）</w:t>
      </w:r>
    </w:p>
    <w:p w14:paraId="3C3C2E8D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股票池、数量与规格要求见第二部分（二）。固定股票池如下：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667A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F92F6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代码</w:t>
            </w:r>
          </w:p>
        </w:tc>
        <w:tc>
          <w:tcPr>
            <w:tcW w:w="2946" w:type="dxa"/>
          </w:tcPr>
          <w:p w14:paraId="163521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名称</w:t>
            </w:r>
          </w:p>
        </w:tc>
        <w:tc>
          <w:tcPr>
            <w:tcW w:w="2946" w:type="dxa"/>
          </w:tcPr>
          <w:p w14:paraId="3E0E79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所属行业</w:t>
            </w:r>
          </w:p>
        </w:tc>
      </w:tr>
      <w:tr w14:paraId="7D2E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DFB55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600519</w:t>
            </w:r>
          </w:p>
        </w:tc>
        <w:tc>
          <w:tcPr>
            <w:tcW w:w="2946" w:type="dxa"/>
          </w:tcPr>
          <w:p w14:paraId="7F955A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贵州茅台</w:t>
            </w:r>
          </w:p>
        </w:tc>
        <w:tc>
          <w:tcPr>
            <w:tcW w:w="2946" w:type="dxa"/>
          </w:tcPr>
          <w:p w14:paraId="29FDAD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白酒</w:t>
            </w:r>
          </w:p>
        </w:tc>
      </w:tr>
      <w:tr w14:paraId="4EF5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31692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601318</w:t>
            </w:r>
          </w:p>
        </w:tc>
        <w:tc>
          <w:tcPr>
            <w:tcW w:w="2946" w:type="dxa"/>
          </w:tcPr>
          <w:p w14:paraId="1D4534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中国平安</w:t>
            </w:r>
          </w:p>
        </w:tc>
        <w:tc>
          <w:tcPr>
            <w:tcW w:w="2946" w:type="dxa"/>
          </w:tcPr>
          <w:p w14:paraId="489F8E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保险</w:t>
            </w:r>
          </w:p>
        </w:tc>
      </w:tr>
      <w:tr w14:paraId="5B95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C530E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601398</w:t>
            </w:r>
          </w:p>
        </w:tc>
        <w:tc>
          <w:tcPr>
            <w:tcW w:w="2946" w:type="dxa"/>
          </w:tcPr>
          <w:p w14:paraId="280ECD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工商银行</w:t>
            </w:r>
          </w:p>
        </w:tc>
        <w:tc>
          <w:tcPr>
            <w:tcW w:w="2946" w:type="dxa"/>
          </w:tcPr>
          <w:p w14:paraId="3B0D6B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</w:t>
            </w:r>
          </w:p>
        </w:tc>
      </w:tr>
      <w:tr w14:paraId="02A1A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A4671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600900</w:t>
            </w:r>
          </w:p>
        </w:tc>
        <w:tc>
          <w:tcPr>
            <w:tcW w:w="2946" w:type="dxa"/>
          </w:tcPr>
          <w:p w14:paraId="3C3A1D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长江电力</w:t>
            </w:r>
          </w:p>
        </w:tc>
        <w:tc>
          <w:tcPr>
            <w:tcW w:w="2946" w:type="dxa"/>
          </w:tcPr>
          <w:p w14:paraId="568006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电力</w:t>
            </w:r>
          </w:p>
        </w:tc>
      </w:tr>
      <w:tr w14:paraId="6732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FC8C8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000002</w:t>
            </w:r>
          </w:p>
        </w:tc>
        <w:tc>
          <w:tcPr>
            <w:tcW w:w="2946" w:type="dxa"/>
          </w:tcPr>
          <w:p w14:paraId="591538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万科A</w:t>
            </w:r>
          </w:p>
        </w:tc>
        <w:tc>
          <w:tcPr>
            <w:tcW w:w="2946" w:type="dxa"/>
          </w:tcPr>
          <w:p w14:paraId="51ACAD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房地产</w:t>
            </w:r>
          </w:p>
        </w:tc>
      </w:tr>
      <w:tr w14:paraId="53EA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F7A8E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600276</w:t>
            </w:r>
          </w:p>
        </w:tc>
        <w:tc>
          <w:tcPr>
            <w:tcW w:w="2946" w:type="dxa"/>
          </w:tcPr>
          <w:p w14:paraId="5353E4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恒瑞医药</w:t>
            </w:r>
          </w:p>
        </w:tc>
        <w:tc>
          <w:tcPr>
            <w:tcW w:w="2946" w:type="dxa"/>
          </w:tcPr>
          <w:p w14:paraId="6CB4C1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医药</w:t>
            </w:r>
          </w:p>
        </w:tc>
      </w:tr>
      <w:tr w14:paraId="25B7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2627C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002415</w:t>
            </w:r>
          </w:p>
        </w:tc>
        <w:tc>
          <w:tcPr>
            <w:tcW w:w="2946" w:type="dxa"/>
          </w:tcPr>
          <w:p w14:paraId="0E240E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海康威视</w:t>
            </w:r>
          </w:p>
        </w:tc>
        <w:tc>
          <w:tcPr>
            <w:tcW w:w="2946" w:type="dxa"/>
          </w:tcPr>
          <w:p w14:paraId="49DE66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安防</w:t>
            </w:r>
          </w:p>
        </w:tc>
      </w:tr>
      <w:tr w14:paraId="14C9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0DF71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002594</w:t>
            </w:r>
          </w:p>
        </w:tc>
        <w:tc>
          <w:tcPr>
            <w:tcW w:w="2946" w:type="dxa"/>
          </w:tcPr>
          <w:p w14:paraId="1DA88A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比亚迪</w:t>
            </w:r>
          </w:p>
        </w:tc>
        <w:tc>
          <w:tcPr>
            <w:tcW w:w="2946" w:type="dxa"/>
          </w:tcPr>
          <w:p w14:paraId="7973D3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汽车</w:t>
            </w:r>
          </w:p>
        </w:tc>
      </w:tr>
      <w:tr w14:paraId="04F1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0EEB0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600111</w:t>
            </w:r>
          </w:p>
        </w:tc>
        <w:tc>
          <w:tcPr>
            <w:tcW w:w="2946" w:type="dxa"/>
          </w:tcPr>
          <w:p w14:paraId="61F9E9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北方稀土</w:t>
            </w:r>
          </w:p>
        </w:tc>
        <w:tc>
          <w:tcPr>
            <w:tcW w:w="2946" w:type="dxa"/>
          </w:tcPr>
          <w:p w14:paraId="24E00F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有色金属</w:t>
            </w:r>
          </w:p>
        </w:tc>
      </w:tr>
      <w:tr w14:paraId="4037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5E50C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601888</w:t>
            </w:r>
          </w:p>
        </w:tc>
        <w:tc>
          <w:tcPr>
            <w:tcW w:w="2946" w:type="dxa"/>
          </w:tcPr>
          <w:p w14:paraId="0EBE06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中国中免</w:t>
            </w:r>
          </w:p>
        </w:tc>
        <w:tc>
          <w:tcPr>
            <w:tcW w:w="2946" w:type="dxa"/>
          </w:tcPr>
          <w:p w14:paraId="25C187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免税消费</w:t>
            </w:r>
          </w:p>
        </w:tc>
      </w:tr>
    </w:tbl>
    <w:p w14:paraId="2F64A8D9">
      <w:pPr>
        <w:spacing w:after="0"/>
      </w:pPr>
    </w:p>
    <w:p w14:paraId="69491D6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业绩比较基准：沪深300 指数（000300）。</w:t>
      </w:r>
    </w:p>
    <w:p w14:paraId="0DD2B49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官方已附带股票池十只与沪深300 的全部基础行情数据（随数据包发布），回测一律以官方数据为准（不同日期下载的前复权价格可能不同）；下表来源仅用于数据交叉校验，自行补充下载须注明来源：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0036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F044B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来源</w:t>
            </w:r>
          </w:p>
        </w:tc>
        <w:tc>
          <w:tcPr>
            <w:tcW w:w="2946" w:type="dxa"/>
          </w:tcPr>
          <w:p w14:paraId="495BD6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特点</w:t>
            </w:r>
          </w:p>
        </w:tc>
        <w:tc>
          <w:tcPr>
            <w:tcW w:w="2946" w:type="dxa"/>
          </w:tcPr>
          <w:p w14:paraId="52EDAB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网址</w:t>
            </w:r>
          </w:p>
        </w:tc>
      </w:tr>
      <w:tr w14:paraId="4E4E3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A1587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AkShare</w:t>
            </w:r>
          </w:p>
        </w:tc>
        <w:tc>
          <w:tcPr>
            <w:tcW w:w="2946" w:type="dxa"/>
          </w:tcPr>
          <w:p w14:paraId="137F21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免费、无需注册，接口覆盖全</w:t>
            </w:r>
          </w:p>
        </w:tc>
        <w:tc>
          <w:tcPr>
            <w:tcW w:w="2946" w:type="dxa"/>
          </w:tcPr>
          <w:p w14:paraId="557807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akshare.akfamily.xyz</w:t>
            </w:r>
          </w:p>
        </w:tc>
      </w:tr>
      <w:tr w14:paraId="2F1E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AF761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BaoStock</w:t>
            </w:r>
          </w:p>
        </w:tc>
        <w:tc>
          <w:tcPr>
            <w:tcW w:w="2946" w:type="dxa"/>
          </w:tcPr>
          <w:p w14:paraId="05E92F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免费稳定，历史数据完整</w:t>
            </w:r>
          </w:p>
        </w:tc>
        <w:tc>
          <w:tcPr>
            <w:tcW w:w="2946" w:type="dxa"/>
          </w:tcPr>
          <w:p w14:paraId="5A9BEB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baostock.com</w:t>
            </w:r>
          </w:p>
        </w:tc>
      </w:tr>
      <w:tr w14:paraId="3B28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535CE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Tushare</w:t>
            </w:r>
          </w:p>
        </w:tc>
        <w:tc>
          <w:tcPr>
            <w:tcW w:w="2946" w:type="dxa"/>
          </w:tcPr>
          <w:p w14:paraId="44FBD7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需注册获取积分，数据规整</w:t>
            </w:r>
          </w:p>
        </w:tc>
        <w:tc>
          <w:tcPr>
            <w:tcW w:w="2946" w:type="dxa"/>
          </w:tcPr>
          <w:p w14:paraId="3F558E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tushare.pro</w:t>
            </w:r>
          </w:p>
        </w:tc>
      </w:tr>
      <w:tr w14:paraId="3EE9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8AA93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efinance</w:t>
            </w:r>
          </w:p>
        </w:tc>
        <w:tc>
          <w:tcPr>
            <w:tcW w:w="2946" w:type="dxa"/>
          </w:tcPr>
          <w:p w14:paraId="35590F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免费，基于东方财富数据</w:t>
            </w:r>
          </w:p>
        </w:tc>
        <w:tc>
          <w:tcPr>
            <w:tcW w:w="2946" w:type="dxa"/>
          </w:tcPr>
          <w:p w14:paraId="714667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pypi 搜索 efinance</w:t>
            </w:r>
          </w:p>
        </w:tc>
      </w:tr>
      <w:tr w14:paraId="5540A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46CF2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 DataLab / Kaggle</w:t>
            </w:r>
          </w:p>
        </w:tc>
        <w:tc>
          <w:tcPr>
            <w:tcW w:w="2946" w:type="dxa"/>
          </w:tcPr>
          <w:p w14:paraId="3A8A99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公开金融数据集备选</w:t>
            </w:r>
          </w:p>
        </w:tc>
        <w:tc>
          <w:tcPr>
            <w:tcW w:w="2946" w:type="dxa"/>
          </w:tcPr>
          <w:p w14:paraId="38CE75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opendatalab.com</w:t>
            </w:r>
          </w:p>
        </w:tc>
      </w:tr>
    </w:tbl>
    <w:p w14:paraId="5FB8732C">
      <w:pPr>
        <w:spacing w:after="0"/>
      </w:pPr>
    </w:p>
    <w:p w14:paraId="53179C57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数据清洗后的文件与校验记录一并纳入压缩包；数据来源与清洗说明写入提交信息.txt。</w:t>
      </w:r>
    </w:p>
    <w:p w14:paraId="16167A90">
      <w:pPr>
        <w:spacing w:after="40" w:line="360" w:lineRule="auto"/>
        <w:ind w:firstLine="480"/>
      </w:pPr>
      <w:r>
        <w:rPr>
          <w:rFonts w:ascii="Times New Roman" w:hAnsi="Times New Roman" w:eastAsia="宋体"/>
          <w:sz w:val="24"/>
        </w:rPr>
        <w:t>建议先使用官方提供的样例数据（3 只股票、3 个月）跑通全部流程，再切换到完整数据，避免一开始即处理全量。</w:t>
      </w:r>
    </w:p>
    <w:p w14:paraId="7D307F5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官方另附带舆情情感打分样例数据（日度 CSV，覆盖股票池全部标的），供附加成果创新项选用，不做强制要求。</w:t>
      </w:r>
    </w:p>
    <w:p w14:paraId="347F6F33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五、实施说明</w:t>
      </w:r>
    </w:p>
    <w:p w14:paraId="5410527D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（一）三种策略类型的说明</w:t>
      </w:r>
    </w:p>
    <w:p w14:paraId="239D8238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种类型覆盖不同的市场行为，均须遵守统一的撮合规则（信号当日收盘计算、次日开盘成交），保证结果可比。趋势跟踪与均值回复结构相近，建议先做；多因子打分涉及多个指标的合成打分，难度最高，可后做。</w:t>
      </w:r>
    </w:p>
    <w:p w14:paraId="50DD9360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（二）工作量与硬件配置</w:t>
      </w:r>
    </w:p>
    <w:p w14:paraId="60BB9DC5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工作量：中位数约 40 小时；截止 11 月 3 日，可按个人节奏弹性安排（军训期间可放缓）。建议先跑通完整流程，再留足时间深入打磨与思考。</w:t>
      </w:r>
    </w:p>
    <w:p w14:paraId="2B709DFA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最低配置：Windows 10 x64、8GB 内存、20GB 可用磁盘；回测与寻优均为本机 CPU 计算，耗时一律不计分，无需云端算力。</w:t>
      </w:r>
    </w:p>
    <w:p w14:paraId="07CAC9AD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（三）开发流程与工业界对照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57D71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B3A63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本项目工作</w:t>
            </w:r>
          </w:p>
        </w:tc>
        <w:tc>
          <w:tcPr>
            <w:tcW w:w="4419" w:type="dxa"/>
          </w:tcPr>
          <w:p w14:paraId="6DE5FB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工业界对应环节</w:t>
            </w:r>
          </w:p>
        </w:tc>
      </w:tr>
      <w:tr w14:paraId="75ACA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38F47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将需求表述为一句话：让人员 30 分钟内完成一次策略全流程验证</w:t>
            </w:r>
          </w:p>
        </w:tc>
        <w:tc>
          <w:tcPr>
            <w:tcW w:w="4419" w:type="dxa"/>
          </w:tcPr>
          <w:p w14:paraId="265958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需求分析</w:t>
            </w:r>
          </w:p>
        </w:tc>
      </w:tr>
      <w:tr w14:paraId="1856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91746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绘制数据流转图</w:t>
            </w:r>
          </w:p>
        </w:tc>
        <w:tc>
          <w:tcPr>
            <w:tcW w:w="4419" w:type="dxa"/>
          </w:tcPr>
          <w:p w14:paraId="56DE5D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架构设计</w:t>
            </w:r>
          </w:p>
        </w:tc>
      </w:tr>
      <w:tr w14:paraId="218A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E77C3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数据校验与清洗</w:t>
            </w:r>
          </w:p>
        </w:tc>
        <w:tc>
          <w:tcPr>
            <w:tcW w:w="4419" w:type="dxa"/>
          </w:tcPr>
          <w:p w14:paraId="07EDD4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数据质量监控（ETL）</w:t>
            </w:r>
          </w:p>
        </w:tc>
      </w:tr>
      <w:tr w14:paraId="4C6F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A2D0E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样本内、样本外时段切分</w:t>
            </w:r>
          </w:p>
        </w:tc>
        <w:tc>
          <w:tcPr>
            <w:tcW w:w="4419" w:type="dxa"/>
          </w:tcPr>
          <w:p w14:paraId="14A101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模型验证规范</w:t>
            </w:r>
          </w:p>
        </w:tc>
      </w:tr>
      <w:tr w14:paraId="144C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CB162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网格寻优</w:t>
            </w:r>
          </w:p>
        </w:tc>
        <w:tc>
          <w:tcPr>
            <w:tcW w:w="4419" w:type="dxa"/>
          </w:tcPr>
          <w:p w14:paraId="3E5171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超参数搜索</w:t>
            </w:r>
          </w:p>
        </w:tc>
      </w:tr>
      <w:tr w14:paraId="302C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85436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实验记录自动落盘</w:t>
            </w:r>
          </w:p>
        </w:tc>
        <w:tc>
          <w:tcPr>
            <w:tcW w:w="4419" w:type="dxa"/>
          </w:tcPr>
          <w:p w14:paraId="0465E7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实验管理</w:t>
            </w:r>
          </w:p>
        </w:tc>
      </w:tr>
      <w:tr w14:paraId="49C2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42CA5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提交与提交信息</w:t>
            </w:r>
          </w:p>
        </w:tc>
        <w:tc>
          <w:tcPr>
            <w:tcW w:w="4419" w:type="dxa"/>
          </w:tcPr>
          <w:p w14:paraId="522FE6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版本控制与 Code Review</w:t>
            </w:r>
          </w:p>
        </w:tc>
      </w:tr>
      <w:tr w14:paraId="086B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723BD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绩效报告页</w:t>
            </w:r>
          </w:p>
        </w:tc>
        <w:tc>
          <w:tcPr>
            <w:tcW w:w="4419" w:type="dxa"/>
          </w:tcPr>
          <w:p w14:paraId="04ADCC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数据可视化看板</w:t>
            </w:r>
          </w:p>
        </w:tc>
      </w:tr>
      <w:tr w14:paraId="68A1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392B3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成果核验</w:t>
            </w:r>
          </w:p>
        </w:tc>
        <w:tc>
          <w:tcPr>
            <w:tcW w:w="4419" w:type="dxa"/>
          </w:tcPr>
          <w:p w14:paraId="48012D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迭代评审</w:t>
            </w:r>
          </w:p>
        </w:tc>
      </w:tr>
      <w:tr w14:paraId="20CD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A9A2E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舆情情感因子</w:t>
            </w:r>
          </w:p>
        </w:tc>
        <w:tc>
          <w:tcPr>
            <w:tcW w:w="4419" w:type="dxa"/>
          </w:tcPr>
          <w:p w14:paraId="700802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把文本信息（新闻等）的情绪打分折算到交易日形成的指标；官方附带现成打分数据，无需自行处理文本</w:t>
            </w:r>
          </w:p>
        </w:tc>
      </w:tr>
    </w:tbl>
    <w:p w14:paraId="6694E06D">
      <w:pPr>
        <w:spacing w:after="0"/>
      </w:pPr>
    </w:p>
    <w:p w14:paraId="42BFD477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六、成果提交（FTP 上传，截止 2026 年 11 月 3 日 22:00）</w:t>
      </w:r>
    </w:p>
    <w:p w14:paraId="53C490E4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（一）提交方式</w:t>
      </w:r>
    </w:p>
    <w:p w14:paraId="4F1371E6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主办方提供 FTP 文件服务器：地址 ftp://10.4.16.13，账号 ruiyi，密码 ruiyi666（共享账号，用 Windows 文件资源管理器或任意 FTP 客户端即可访问）。截止前将完整项目目录（含 .git 版本历史目录）打包为一个 zip 压缩包，压缩包根目录即项目根目录，勿多套一层文件夹；压缩包命名为「姓名-题目.zip」，如“张三-A股量化回测系统.zip”，上传至 FTP 服务器根目录。评审以截止时刻前收到的最后一份压缩包为准；每人仅上传一个压缩包，请勿上传多个版本。</w:t>
      </w:r>
    </w:p>
    <w:p w14:paraId="6394A952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（二）提交格式与目录结构</w:t>
      </w:r>
    </w:p>
    <w:p w14:paraId="41C59E12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（项目源码）    app.py、backtest/、strategies/ 等 + 启动.bat + requirements.txt</w:t>
      </w:r>
    </w:p>
    <w:p w14:paraId="6E165AE5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data/          校验清洗后的行情 CSV 与校验报告（官方原始数据勿删）</w:t>
      </w:r>
    </w:p>
    <w:p w14:paraId="11A8B99C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strategy/      自研最优配置 strategy.json（供主办方核验使用）</w:t>
      </w:r>
    </w:p>
    <w:p w14:paraId="7B9D855E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records/       实验记录 + 对比结果.csv（均由平台自动导出，无需手写）</w:t>
      </w:r>
    </w:p>
    <w:p w14:paraId="7511C3F4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demo/          演示录屏不超过 3 分钟（启动→三策略回测→寻优→报告页），或 3 张关键截图</w:t>
      </w:r>
    </w:p>
    <w:p w14:paraId="5DC32F1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ai_log.md      AI 使用记录：时间 | 工具（Trae/Qoder/WorkBuddy）| 用途说明</w:t>
      </w:r>
    </w:p>
    <w:p w14:paraId="234E1E03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├─ 提交信息.txt    姓名、学号、联系方式、数据来源与清洗说明、最优策略及样本内外指标</w:t>
      </w:r>
    </w:p>
    <w:p w14:paraId="11EDC189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└─ README.md      一页以内：三条命令或双击即可运行</w:t>
      </w:r>
    </w:p>
    <w:p w14:paraId="6A64576F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项目根目录须自行编写 .gitignore（排除临时文件与数据缓存）；data/ 与 strategy/ 必须纳入压缩包。</w:t>
      </w:r>
    </w:p>
    <w:p w14:paraId="092E760F">
      <w:pPr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（三）Git 使用要求</w:t>
      </w:r>
    </w:p>
    <w:p w14:paraId="74F9C571">
      <w:pPr>
        <w:spacing w:after="4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开发全程使用 Git 管理，每完成一个功能即提交一次；AI 工具产生的改动同样提交留痕，此为工业界标准做法，常用命令可随时向 AI 编程工具索取。建议开发过程中勤将提交推送到 GitHub 私有仓库做异地备份：借助 AI 快速开发（Vibe Coding）时误改难以避免，有了版本历史即可随时回滚到任意提交点，显著提高容错率与开发效率。除 ai_log.md、README.md、提交信息.txt 三个文本文件外，其余材料均须由系统导出，不得手工编写。</w:t>
      </w:r>
    </w:p>
    <w:p w14:paraId="39BC5D79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七、考核说明（以最终成果为依据）</w:t>
      </w:r>
    </w:p>
    <w:p w14:paraId="5E73EE89">
      <w:pPr>
        <w:spacing w:before="280" w:after="16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考核以最终成果为依据，不考察每日过程记录。成果是否符合任务要求、功能是否真实可用、结果是否可复现，均由主办方统一核验。</w:t>
      </w:r>
    </w:p>
    <w:p w14:paraId="7BC404CA">
      <w:pPr>
        <w:spacing w:before="280" w:after="160" w:line="360" w:lineRule="auto"/>
        <w:ind w:firstLine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成绩优异者将进入大学生创新创业训练计划项目预备队</w:t>
      </w:r>
      <w:r>
        <w:rPr>
          <w:rFonts w:hint="eastAsia" w:ascii="Times New Roman" w:hAnsi="Times New Roman" w:eastAsia="宋体"/>
          <w:b w:val="0"/>
          <w:color w:val="000000"/>
          <w:sz w:val="21"/>
          <w:lang w:eastAsia="zh-CN"/>
        </w:rPr>
        <w:t>。</w:t>
      </w:r>
    </w:p>
    <w:p w14:paraId="2A7D724A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八、学术诚信</w:t>
      </w:r>
    </w:p>
    <w:p w14:paraId="7F06A4A5">
      <w:pPr>
        <w:spacing w:after="40" w:line="360" w:lineRule="auto"/>
        <w:ind w:firstLine="480"/>
      </w:pPr>
      <w:r>
        <w:rPr>
          <w:rFonts w:ascii="Times New Roman" w:hAnsi="Times New Roman" w:eastAsia="宋体"/>
          <w:sz w:val="24"/>
        </w:rPr>
        <w:t>所有成果均可追溯核验（数据、实验记录、提交历史交叉一致）；存在造假且无法说明合理原因的，相关成果计零分。</w:t>
      </w:r>
    </w:p>
    <w:p w14:paraId="75081C80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九、自由发挥空间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4271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6DFE4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档位</w:t>
            </w:r>
          </w:p>
        </w:tc>
        <w:tc>
          <w:tcPr>
            <w:tcW w:w="4419" w:type="dxa"/>
          </w:tcPr>
          <w:p w14:paraId="7A04F3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内容</w:t>
            </w:r>
          </w:p>
        </w:tc>
      </w:tr>
      <w:tr w14:paraId="435F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9246D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完全自由</w:t>
            </w:r>
          </w:p>
        </w:tc>
        <w:tc>
          <w:tcPr>
            <w:tcW w:w="4419" w:type="dxa"/>
          </w:tcPr>
          <w:p w14:paraId="19A462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界面与报告页风格、策略实现细节（指标计算方式自定）、演示形式</w:t>
            </w:r>
          </w:p>
        </w:tc>
      </w:tr>
      <w:tr w14:paraId="688C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F40EA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可选取舍</w:t>
            </w:r>
          </w:p>
        </w:tc>
        <w:tc>
          <w:tcPr>
            <w:tcW w:w="4419" w:type="dxa"/>
          </w:tcPr>
          <w:p w14:paraId="26F583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是否制作便携版、是否对第二种类型寻优、是否进行滚动验证、是否提出延展创意</w:t>
            </w:r>
          </w:p>
        </w:tc>
      </w:tr>
      <w:tr w14:paraId="083D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D240F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不得更改</w:t>
            </w:r>
          </w:p>
        </w:tc>
        <w:tc>
          <w:tcPr>
            <w:tcW w:w="4419" w:type="dxa"/>
          </w:tcPr>
          <w:p w14:paraId="6D5BB6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股票池与费率规则、撮合规则、任务要求全部条目</w:t>
            </w:r>
          </w:p>
        </w:tc>
      </w:tr>
    </w:tbl>
    <w:p w14:paraId="79A06F7E">
      <w:pPr>
        <w:spacing w:after="0"/>
      </w:pPr>
    </w:p>
    <w:p w14:paraId="6DA2C0EB">
      <w:pPr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附录：术语与工具速查（供查阅）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60EF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F887A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术语</w:t>
            </w:r>
          </w:p>
        </w:tc>
        <w:tc>
          <w:tcPr>
            <w:tcW w:w="4419" w:type="dxa"/>
          </w:tcPr>
          <w:p w14:paraId="371AC4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说明</w:t>
            </w:r>
          </w:p>
        </w:tc>
      </w:tr>
      <w:tr w14:paraId="109C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1A5E8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回测</w:t>
            </w:r>
          </w:p>
        </w:tc>
        <w:tc>
          <w:tcPr>
            <w:tcW w:w="4419" w:type="dxa"/>
          </w:tcPr>
          <w:p w14:paraId="6DC9E5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用历史数据模拟策略运行，检验其过往表现</w:t>
            </w:r>
          </w:p>
        </w:tc>
      </w:tr>
      <w:tr w14:paraId="2629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9351F18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趋势跟踪</w:t>
            </w:r>
          </w:p>
        </w:tc>
        <w:tc>
          <w:tcPr>
            <w:tcW w:w="4419" w:type="dxa"/>
          </w:tcPr>
          <w:p w14:paraId="162D67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跟随价格趋势方向的策略类型：趋势向上时持有、趋势向下时空仓。经典实现为双均线交叉（短期平均价向上穿越长期平均价时买入，反向时卖出）</w:t>
            </w:r>
          </w:p>
        </w:tc>
      </w:tr>
      <w:tr w14:paraId="269C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DAC12FA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均值回复</w:t>
            </w:r>
          </w:p>
        </w:tc>
        <w:tc>
          <w:tcPr>
            <w:tcW w:w="4419" w:type="dxa"/>
          </w:tcPr>
          <w:p w14:paraId="0397CC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认为价格偏离平均值后会回归的策略类型：价格偏低时买入、偏高时卖出。经典实现为布林带（用价格波动幅度画出上下轨道，跌破下轨买入、涨破上轨卖出）</w:t>
            </w:r>
          </w:p>
        </w:tc>
      </w:tr>
      <w:tr w14:paraId="0D13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F232D34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多因子打分</w:t>
            </w:r>
          </w:p>
        </w:tc>
        <w:tc>
          <w:tcPr>
            <w:tcW w:w="4419" w:type="dxa"/>
          </w:tcPr>
          <w:p w14:paraId="6C892B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把多个指标（如涨势强弱、波动大小）分别打分后加权合成的策略类型，总分决定买卖。三种类型中实现难度最高</w:t>
            </w:r>
          </w:p>
        </w:tc>
      </w:tr>
      <w:tr w14:paraId="4251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CD0E6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前复权</w:t>
            </w:r>
          </w:p>
        </w:tc>
        <w:tc>
          <w:tcPr>
            <w:tcW w:w="4419" w:type="dxa"/>
          </w:tcPr>
          <w:p w14:paraId="6B38E6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把历史价格按分红送股调整到当前口径，保证价格序列连续可比</w:t>
            </w:r>
          </w:p>
        </w:tc>
      </w:tr>
      <w:tr w14:paraId="674B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8A157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T+1</w:t>
            </w:r>
          </w:p>
        </w:tc>
        <w:tc>
          <w:tcPr>
            <w:tcW w:w="4419" w:type="dxa"/>
          </w:tcPr>
          <w:p w14:paraId="76A898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当日买入的股票，次一交易日方可卖出（A 股交易规则）</w:t>
            </w:r>
          </w:p>
        </w:tc>
      </w:tr>
      <w:tr w14:paraId="355E1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C9A06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涨跌停</w:t>
            </w:r>
          </w:p>
        </w:tc>
        <w:tc>
          <w:tcPr>
            <w:tcW w:w="4419" w:type="dxa"/>
          </w:tcPr>
          <w:p w14:paraId="348845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单日涨跌幅达到限制幅度时价格不再变动；本项目按涨跌停日不成交处理</w:t>
            </w:r>
          </w:p>
        </w:tc>
      </w:tr>
      <w:tr w14:paraId="5838D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1E6EE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停牌</w:t>
            </w:r>
          </w:p>
        </w:tc>
        <w:tc>
          <w:tcPr>
            <w:tcW w:w="4419" w:type="dxa"/>
          </w:tcPr>
          <w:p w14:paraId="6558C4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股票暂停交易的期间，不可买入卖出</w:t>
            </w:r>
          </w:p>
        </w:tc>
      </w:tr>
      <w:tr w14:paraId="46C0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3193B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年化收益率</w:t>
            </w:r>
          </w:p>
        </w:tc>
        <w:tc>
          <w:tcPr>
            <w:tcW w:w="4419" w:type="dxa"/>
          </w:tcPr>
          <w:p w14:paraId="4F3702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把任意时长的收益折算为一年的比率，便于不同时段比较</w:t>
            </w:r>
          </w:p>
        </w:tc>
      </w:tr>
      <w:tr w14:paraId="3346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2EDD2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最大回撤</w:t>
            </w:r>
          </w:p>
        </w:tc>
        <w:tc>
          <w:tcPr>
            <w:tcW w:w="4419" w:type="dxa"/>
          </w:tcPr>
          <w:p w14:paraId="1CB923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净值从最高点到其后最低点的最大跌幅，衡量最坏亏损</w:t>
            </w:r>
          </w:p>
        </w:tc>
      </w:tr>
      <w:tr w14:paraId="1BEF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EEA17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夏普比率</w:t>
            </w:r>
          </w:p>
        </w:tc>
        <w:tc>
          <w:tcPr>
            <w:tcW w:w="4419" w:type="dxa"/>
          </w:tcPr>
          <w:p w14:paraId="7833AB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每承担一单位波动所获得的超额收益，数值越高越好</w:t>
            </w:r>
          </w:p>
        </w:tc>
      </w:tr>
      <w:tr w14:paraId="4329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15A01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胜率</w:t>
            </w:r>
          </w:p>
        </w:tc>
        <w:tc>
          <w:tcPr>
            <w:tcW w:w="4419" w:type="dxa"/>
          </w:tcPr>
          <w:p w14:paraId="7E034B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盈利交易次数占全部交易次数的比例</w:t>
            </w:r>
          </w:p>
        </w:tc>
      </w:tr>
      <w:tr w14:paraId="3816F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9D942D1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净值</w:t>
            </w:r>
          </w:p>
        </w:tc>
        <w:tc>
          <w:tcPr>
            <w:tcW w:w="4419" w:type="dxa"/>
          </w:tcPr>
          <w:p w14:paraId="671FD6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账户总资产除以初始资金的比值，随日期连成收益曲线；本项目初始资金为一百万元</w:t>
            </w:r>
          </w:p>
        </w:tc>
      </w:tr>
      <w:tr w14:paraId="5C0E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A1FFEE4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交易信号</w:t>
            </w:r>
          </w:p>
        </w:tc>
        <w:tc>
          <w:tcPr>
            <w:tcW w:w="4419" w:type="dxa"/>
          </w:tcPr>
          <w:p w14:paraId="54B169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策略在每日收盘后给出的操作指示（买入、卖出或持有）</w:t>
            </w:r>
          </w:p>
        </w:tc>
      </w:tr>
      <w:tr w14:paraId="75A0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711400E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撮合</w:t>
            </w:r>
          </w:p>
        </w:tc>
        <w:tc>
          <w:tcPr>
            <w:tcW w:w="4419" w:type="dxa"/>
          </w:tcPr>
          <w:p w14:paraId="2B938E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把信号按交易规则变成实际成交的过程；本项目统一为信号当日收盘计算、次日开盘价成交</w:t>
            </w:r>
          </w:p>
        </w:tc>
      </w:tr>
      <w:tr w14:paraId="431B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57C606E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佣金与印花税</w:t>
            </w:r>
          </w:p>
        </w:tc>
        <w:tc>
          <w:tcPr>
            <w:tcW w:w="4419" w:type="dxa"/>
          </w:tcPr>
          <w:p w14:paraId="2CDD65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券商收取的手续费与证券交易税；本项目按佣金万分之 2.5（最低 5 元）、卖出印花税万分之 5 计入回测成本</w:t>
            </w:r>
          </w:p>
        </w:tc>
      </w:tr>
      <w:tr w14:paraId="1175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C6635C2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滚动验证（三折）</w:t>
            </w:r>
          </w:p>
        </w:tc>
        <w:tc>
          <w:tcPr>
            <w:tcW w:w="4419" w:type="dxa"/>
          </w:tcPr>
          <w:p w14:paraId="5BDDD8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把样本外时段分成三段轮流检验策略，全部时段均为正收益才认为稳健</w:t>
            </w:r>
          </w:p>
        </w:tc>
      </w:tr>
      <w:tr w14:paraId="2BA6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4C426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基准</w:t>
            </w:r>
          </w:p>
        </w:tc>
        <w:tc>
          <w:tcPr>
            <w:tcW w:w="4419" w:type="dxa"/>
          </w:tcPr>
          <w:p w14:paraId="4E595C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用于比较的参照；买入持有指期初买入后不再操作，是最简单的对照策略。本项目基准为沪深300 指数买入持有</w:t>
            </w:r>
          </w:p>
        </w:tc>
      </w:tr>
      <w:tr w14:paraId="0A9E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E4362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过拟合</w:t>
            </w:r>
          </w:p>
        </w:tc>
        <w:tc>
          <w:tcPr>
            <w:tcW w:w="4419" w:type="dxa"/>
          </w:tcPr>
          <w:p w14:paraId="26732A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策略只适应了历史噪声、未见数据上失效的现象</w:t>
            </w:r>
          </w:p>
        </w:tc>
      </w:tr>
      <w:tr w14:paraId="1A8F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CA7F5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样本内 / 样本外</w:t>
            </w:r>
          </w:p>
        </w:tc>
        <w:tc>
          <w:tcPr>
            <w:tcW w:w="4419" w:type="dxa"/>
          </w:tcPr>
          <w:p w14:paraId="64C89C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用于调参的时段 / 未参与调参、仅用于检验的时段</w:t>
            </w:r>
          </w:p>
        </w:tc>
      </w:tr>
      <w:tr w14:paraId="76E5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C8110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未来函数</w:t>
            </w:r>
          </w:p>
        </w:tc>
        <w:tc>
          <w:tcPr>
            <w:tcW w:w="4419" w:type="dxa"/>
          </w:tcPr>
          <w:p w14:paraId="4367A2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误用了当时不可能知道的信息（如用当日收盘价决定当日买入），属于回测严重错误</w:t>
            </w:r>
          </w:p>
        </w:tc>
      </w:tr>
      <w:tr w14:paraId="53FA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C4F5F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网格寻优</w:t>
            </w:r>
          </w:p>
        </w:tc>
        <w:tc>
          <w:tcPr>
            <w:tcW w:w="4419" w:type="dxa"/>
          </w:tcPr>
          <w:p w14:paraId="1581BE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把每个参数取若干档，遍历全部组合并逐一回测，选样本外表现最好的组合</w:t>
            </w:r>
          </w:p>
        </w:tc>
      </w:tr>
      <w:tr w14:paraId="7C0F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27EF08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策略参数</w:t>
            </w:r>
          </w:p>
        </w:tc>
        <w:tc>
          <w:tcPr>
            <w:tcW w:w="4419" w:type="dxa"/>
          </w:tcPr>
          <w:p w14:paraId="5A0C39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决定策略买卖行为的可调数值，如均线取多少天、布林带宽度取几倍波动幅度；网格寻优搜索的就是这些参数的最优组合</w:t>
            </w:r>
          </w:p>
        </w:tc>
      </w:tr>
      <w:tr w14:paraId="6B2B6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CE577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舆情情感因子（舆情情感打分）</w:t>
            </w:r>
          </w:p>
        </w:tc>
        <w:tc>
          <w:tcPr>
            <w:tcW w:w="4419" w:type="dxa"/>
          </w:tcPr>
          <w:p w14:paraId="3D55A7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主办方提供的十只标的每日情绪倾向分值数据（由工作室模型批量生成，仅用截至当日的公开信息）。直接对齐交易日纳入策略即可，无需自行抓取或处理文本；属附加创新项资料，不做也完全不影响完成本任务</w:t>
            </w:r>
          </w:p>
        </w:tc>
      </w:tr>
      <w:tr w14:paraId="53FB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E6042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conda / pip</w:t>
            </w:r>
          </w:p>
        </w:tc>
        <w:tc>
          <w:tcPr>
            <w:tcW w:w="4419" w:type="dxa"/>
          </w:tcPr>
          <w:p w14:paraId="78FFAE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环境管理工具 / 依赖安装工具</w:t>
            </w:r>
          </w:p>
        </w:tc>
      </w:tr>
      <w:tr w14:paraId="55C1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BCC1673">
            <w:pPr>
              <w:spacing w:after="0" w:line="240" w:lineRule="auto"/>
            </w:pPr>
            <w:r>
              <w:rPr>
                <w:rFonts w:ascii="Times New Roman" w:hAnsi="Times New Roman" w:eastAsia="黑体"/>
                <w:b w:val="0"/>
                <w:sz w:val="21"/>
              </w:rPr>
              <w:t>akshare / pandas / matplotlib / flask</w:t>
            </w:r>
          </w:p>
        </w:tc>
        <w:tc>
          <w:tcPr>
            <w:tcW w:w="4419" w:type="dxa"/>
          </w:tcPr>
          <w:p w14:paraId="18668B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免费行情数据接口库 / 数据表格处理库 / 绘图库 / 网页报告框架，均为本项目核心依赖，可通过 pip 一并安装</w:t>
            </w:r>
          </w:p>
        </w:tc>
      </w:tr>
      <w:tr w14:paraId="7D938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372180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/ GitHub</w:t>
            </w:r>
          </w:p>
        </w:tc>
        <w:tc>
          <w:tcPr>
            <w:tcW w:w="4419" w:type="dxa"/>
          </w:tcPr>
          <w:p w14:paraId="3D7524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代码版本管理工具 / 托管平台。本项目要求全程以 Git 管理代码，日常只需 add、commit、push</w:t>
            </w:r>
          </w:p>
        </w:tc>
      </w:tr>
    </w:tbl>
    <w:p w14:paraId="3AB3747B">
      <w:pPr>
        <w:spacing w:before="3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瑞翼工坊 · 2026 年 10 月</w:t>
      </w:r>
    </w:p>
    <w:p w14:paraId="5A5174A3">
      <w:pPr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本任务书最终解释权归瑞翼工坊所有</w:t>
      </w:r>
    </w:p>
    <w:sectPr>
      <w:footerReference r:id="rId5" w:type="default"/>
      <w:pgSz w:w="12240" w:h="15840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JetBrainsMonoNL NFM 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NL NFM Medium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D1AEA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1C3"/>
    <w:rsid w:val="00AA1D8D"/>
    <w:rsid w:val="00B47730"/>
    <w:rsid w:val="00CB0664"/>
    <w:rsid w:val="00FC693F"/>
    <w:rsid w:val="0D8420F0"/>
    <w:rsid w:val="19AF7825"/>
    <w:rsid w:val="1FAD0CAB"/>
    <w:rsid w:val="30415FA8"/>
    <w:rsid w:val="518F352E"/>
    <w:rsid w:val="65C1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2226</Words>
  <Characters>2879</Characters>
  <Lines>0</Lines>
  <Paragraphs>0</Paragraphs>
  <TotalTime>11</TotalTime>
  <ScaleCrop>false</ScaleCrop>
  <LinksUpToDate>false</LinksUpToDate>
  <CharactersWithSpaces>3051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周宏博</cp:lastModifiedBy>
  <dcterms:modified xsi:type="dcterms:W3CDTF">2026-10-24T07:49:06Z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eyJoZGlkIjoiZWU3YjM4NjBiYzFmZjg4ZWM2MmE5MDNhZTU5YjA5N2MiLCJ1c2VySWQiOiI4OTI3NjMxNzEifQ==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B9C575C9D470438FB689E4C6F7CBA076_13</vt:lpwstr>
  </property>
</Properties>
</file>