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6828" w14:textId="77777777" w:rsidR="00D25370" w:rsidRDefault="00D25370" w:rsidP="000D1C2D">
      <w:pPr>
        <w:pStyle w:val="Subtitle"/>
        <w:spacing w:before="240"/>
        <w:rPr>
          <w:rFonts w:asciiTheme="majorBidi" w:hAnsiTheme="majorBidi"/>
          <w:color w:val="auto"/>
          <w:spacing w:val="-10"/>
          <w:kern w:val="28"/>
          <w:sz w:val="44"/>
          <w:szCs w:val="56"/>
        </w:rPr>
      </w:pPr>
      <w:bookmarkStart w:id="0" w:name="_top"/>
      <w:bookmarkEnd w:id="0"/>
    </w:p>
    <w:p w14:paraId="39EE2E12" w14:textId="77777777" w:rsidR="00D25370" w:rsidRDefault="00D25370" w:rsidP="000D1C2D">
      <w:pPr>
        <w:pStyle w:val="Subtitle"/>
        <w:spacing w:before="240"/>
        <w:rPr>
          <w:rFonts w:asciiTheme="majorBidi" w:hAnsiTheme="majorBidi"/>
          <w:color w:val="auto"/>
          <w:spacing w:val="-10"/>
          <w:kern w:val="28"/>
          <w:sz w:val="44"/>
          <w:szCs w:val="56"/>
        </w:rPr>
      </w:pPr>
    </w:p>
    <w:p w14:paraId="3FF9B714" w14:textId="0DA97B5C" w:rsidR="00A430CA" w:rsidRPr="000D1C2D" w:rsidRDefault="00A430CA" w:rsidP="000D1C2D">
      <w:pPr>
        <w:pStyle w:val="Subtitle"/>
        <w:spacing w:before="240"/>
        <w:rPr>
          <w:rFonts w:asciiTheme="majorBidi" w:hAnsiTheme="majorBidi"/>
          <w:color w:val="auto"/>
          <w:spacing w:val="-10"/>
          <w:kern w:val="28"/>
          <w:sz w:val="44"/>
          <w:szCs w:val="56"/>
        </w:rPr>
      </w:pPr>
      <w:r w:rsidRPr="00A430CA">
        <w:rPr>
          <w:rFonts w:asciiTheme="majorBidi" w:hAnsiTheme="majorBidi"/>
          <w:color w:val="auto"/>
          <w:spacing w:val="-10"/>
          <w:kern w:val="28"/>
          <w:sz w:val="44"/>
          <w:szCs w:val="56"/>
        </w:rPr>
        <w:t>"Strategic Adaptation and Policy Synergies: Business Leadership at Japan's Post-War Economic Inflection Points"</w:t>
      </w:r>
    </w:p>
    <w:p w14:paraId="5174B39E" w14:textId="0A884FA0" w:rsidR="00730705" w:rsidRPr="000D1C2D" w:rsidRDefault="00A430CA" w:rsidP="00A430CA">
      <w:pPr>
        <w:pStyle w:val="Subtitle"/>
        <w:spacing w:before="240"/>
        <w:rPr>
          <w:i/>
          <w:iCs/>
          <w:sz w:val="24"/>
          <w:szCs w:val="24"/>
        </w:rPr>
      </w:pPr>
      <w:r w:rsidRPr="000D1C2D">
        <w:rPr>
          <w:i/>
          <w:iCs/>
          <w:sz w:val="24"/>
          <w:szCs w:val="24"/>
        </w:rPr>
        <w:t>By R</w:t>
      </w:r>
      <w:r w:rsidR="00730705" w:rsidRPr="000D1C2D">
        <w:rPr>
          <w:i/>
          <w:iCs/>
          <w:sz w:val="24"/>
          <w:szCs w:val="24"/>
        </w:rPr>
        <w:t>eza Fayazi</w:t>
      </w:r>
    </w:p>
    <w:p w14:paraId="784B4D4C" w14:textId="77777777" w:rsidR="00730705" w:rsidRDefault="00730705" w:rsidP="00730705"/>
    <w:p w14:paraId="0C5F8F98" w14:textId="77777777" w:rsidR="00730705" w:rsidRDefault="00730705" w:rsidP="00730705"/>
    <w:p w14:paraId="2F931968" w14:textId="77777777" w:rsidR="00730705" w:rsidRDefault="00730705" w:rsidP="00730705"/>
    <w:p w14:paraId="46376CD5" w14:textId="77777777" w:rsidR="00730705" w:rsidRDefault="00730705" w:rsidP="00A430CA">
      <w:pPr>
        <w:ind w:left="288" w:firstLine="0"/>
      </w:pPr>
    </w:p>
    <w:p w14:paraId="1EDD676C" w14:textId="3A2E912F" w:rsidR="00730705" w:rsidRPr="00DF6FA8" w:rsidRDefault="00730705" w:rsidP="00DF6FA8">
      <w:pPr>
        <w:pStyle w:val="Title2"/>
      </w:pPr>
      <w:bookmarkStart w:id="1" w:name="_Toc234763681"/>
      <w:r w:rsidRPr="00504FBB">
        <w:t>Abst</w:t>
      </w:r>
      <w:r w:rsidRPr="00504FBB">
        <w:t>r</w:t>
      </w:r>
      <w:r w:rsidRPr="00504FBB">
        <w:t>act</w:t>
      </w:r>
      <w:bookmarkEnd w:id="1"/>
    </w:p>
    <w:p w14:paraId="446318D0" w14:textId="057D1077" w:rsidR="00730705" w:rsidRPr="00730705" w:rsidRDefault="00730705" w:rsidP="00A430CA">
      <w:pPr>
        <w:ind w:left="288" w:firstLine="0"/>
      </w:pPr>
      <w:r>
        <w:t xml:space="preserve">This is a concise study about Japan’s economy throughout years 1945 to 2011. In this paper we analyze how did we </w:t>
      </w:r>
    </w:p>
    <w:p w14:paraId="1A6BC72B" w14:textId="77777777" w:rsidR="00730705" w:rsidRPr="00730705" w:rsidRDefault="00730705" w:rsidP="00DF6FA8">
      <w:pPr>
        <w:pStyle w:val="Title2"/>
      </w:pPr>
    </w:p>
    <w:p w14:paraId="2FCBC365" w14:textId="429E19C0" w:rsidR="007808DD" w:rsidRPr="007808DD" w:rsidRDefault="007808DD" w:rsidP="007808DD">
      <w:pPr>
        <w:pStyle w:val="Quote"/>
      </w:pPr>
    </w:p>
    <w:p w14:paraId="64B2B67B" w14:textId="77777777" w:rsidR="007808DD" w:rsidRDefault="007808DD" w:rsidP="007808DD"/>
    <w:p w14:paraId="691B8377" w14:textId="77777777" w:rsidR="007808DD" w:rsidRDefault="007808DD" w:rsidP="007808DD"/>
    <w:p w14:paraId="57F0D0C4" w14:textId="77777777" w:rsidR="00A430CA" w:rsidRDefault="00A430CA" w:rsidP="00A430CA"/>
    <w:p w14:paraId="112AB803" w14:textId="77777777" w:rsidR="00A430CA" w:rsidRDefault="00A430CA" w:rsidP="00DF6FA8">
      <w:pPr>
        <w:ind w:firstLine="0"/>
      </w:pPr>
    </w:p>
    <w:p w14:paraId="6AFA4C3C" w14:textId="30AAD768" w:rsidR="00DF6FA8" w:rsidRDefault="00DF6FA8" w:rsidP="00DF6FA8">
      <w:pPr>
        <w:ind w:firstLine="0"/>
      </w:pPr>
    </w:p>
    <w:p w14:paraId="6DC7253A" w14:textId="77777777" w:rsidR="000D1C2D" w:rsidRDefault="000D1C2D" w:rsidP="000D1C2D">
      <w:pPr>
        <w:ind w:firstLine="0"/>
      </w:pPr>
    </w:p>
    <w:p w14:paraId="115AA499" w14:textId="77777777" w:rsidR="00DF6FA8" w:rsidRDefault="00DF6FA8" w:rsidP="00DF6FA8">
      <w:pPr>
        <w:ind w:firstLine="0"/>
      </w:pPr>
    </w:p>
    <w:p w14:paraId="2C1A7B18" w14:textId="4EDDD757" w:rsidR="003E2086" w:rsidRPr="00DF6FA8" w:rsidRDefault="00A430CA" w:rsidP="00DF6FA8">
      <w:pPr>
        <w:rPr>
          <w:rFonts w:asciiTheme="majorBidi" w:eastAsiaTheme="majorEastAsia" w:hAnsiTheme="majorBidi" w:cstheme="majorBidi"/>
          <w:color w:val="auto"/>
          <w:spacing w:val="-10"/>
          <w:kern w:val="28"/>
          <w:sz w:val="36"/>
          <w:szCs w:val="56"/>
        </w:rPr>
      </w:pPr>
      <w:r w:rsidRPr="00DF6FA8">
        <w:rPr>
          <w:rFonts w:asciiTheme="majorBidi" w:eastAsiaTheme="majorEastAsia" w:hAnsiTheme="majorBidi" w:cstheme="majorBidi"/>
          <w:color w:val="auto"/>
          <w:spacing w:val="-10"/>
          <w:kern w:val="28"/>
          <w:sz w:val="36"/>
          <w:szCs w:val="56"/>
        </w:rPr>
        <w:t>Keywords</w:t>
      </w:r>
      <w:r w:rsidR="00DF6FA8" w:rsidRPr="00DF6FA8">
        <w:rPr>
          <w:rFonts w:asciiTheme="majorBidi" w:eastAsiaTheme="majorEastAsia" w:hAnsiTheme="majorBidi" w:cstheme="majorBidi"/>
          <w:color w:val="auto"/>
          <w:spacing w:val="-10"/>
          <w:kern w:val="28"/>
          <w:sz w:val="36"/>
          <w:szCs w:val="56"/>
        </w:rPr>
        <mc:AlternateContent>
          <mc:Choice Requires="wps">
            <w:drawing>
              <wp:anchor distT="0" distB="0" distL="114300" distR="114300" simplePos="0" relativeHeight="251659264" behindDoc="1" locked="0" layoutInCell="1" allowOverlap="1" wp14:anchorId="6C9D1408" wp14:editId="32B443F8">
                <wp:simplePos x="0" y="0"/>
                <wp:positionH relativeFrom="margin">
                  <wp:align>center</wp:align>
                </wp:positionH>
                <wp:positionV relativeFrom="paragraph">
                  <wp:posOffset>372115</wp:posOffset>
                </wp:positionV>
                <wp:extent cx="5678170" cy="1828800"/>
                <wp:effectExtent l="0" t="0" r="0" b="4445"/>
                <wp:wrapTight wrapText="bothSides">
                  <wp:wrapPolygon edited="0">
                    <wp:start x="217" y="0"/>
                    <wp:lineTo x="217" y="21184"/>
                    <wp:lineTo x="21378" y="21184"/>
                    <wp:lineTo x="21378" y="0"/>
                    <wp:lineTo x="217" y="0"/>
                  </wp:wrapPolygon>
                </wp:wrapTight>
                <wp:docPr id="1" name="Text Box 1"/>
                <wp:cNvGraphicFramePr/>
                <a:graphic xmlns:a="http://schemas.openxmlformats.org/drawingml/2006/main">
                  <a:graphicData uri="http://schemas.microsoft.com/office/word/2010/wordprocessingShape">
                    <wps:wsp>
                      <wps:cNvSpPr txBox="1"/>
                      <wps:spPr>
                        <a:xfrm>
                          <a:off x="0" y="0"/>
                          <a:ext cx="5678170" cy="1828800"/>
                        </a:xfrm>
                        <a:prstGeom prst="rect">
                          <a:avLst/>
                        </a:prstGeom>
                        <a:noFill/>
                        <a:ln w="6350">
                          <a:noFill/>
                        </a:ln>
                      </wps:spPr>
                      <wps:txbx>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9D1408" id="_x0000_t202" coordsize="21600,21600" o:spt="202" path="m,l,21600r21600,l21600,xe">
                <v:stroke joinstyle="miter"/>
                <v:path gradientshapeok="t" o:connecttype="rect"/>
              </v:shapetype>
              <v:shape id="Text Box 1" o:spid="_x0000_s1026" type="#_x0000_t202" style="position:absolute;left:0;text-align:left;margin-left:0;margin-top:29.3pt;width:447.1pt;height:2in;z-index:-251657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" filled="f" stroked="f" strokeweight=".5pt">
                <v:fill o:detectmouseclick="t"/>
                <v:textbox style="mso-fit-shape-to-text:t">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v:textbox>
                <w10:wrap type="tight" anchorx="margin"/>
              </v:shape>
            </w:pict>
          </mc:Fallback>
        </mc:AlternateContent>
      </w:r>
      <w:r w:rsidR="00DF6FA8" w:rsidRPr="00DF6FA8">
        <w:rPr>
          <w:rFonts w:asciiTheme="majorBidi" w:eastAsiaTheme="majorEastAsia" w:hAnsiTheme="majorBidi" w:cstheme="majorBidi"/>
          <w:color w:val="auto"/>
          <w:spacing w:val="-10"/>
          <w:kern w:val="28"/>
          <w:sz w:val="36"/>
          <w:szCs w:val="56"/>
        </w:rPr>
        <w:t>:</w:t>
      </w:r>
    </w:p>
    <w:p w14:paraId="4A9A06B2" w14:textId="6720925C" w:rsidR="00DF6FA8" w:rsidRDefault="00DF6FA8" w:rsidP="00DF6FA8">
      <w:pPr>
        <w:ind w:firstLine="0"/>
      </w:pPr>
    </w:p>
    <w:sdt>
      <w:sdtPr>
        <w:id w:val="1780522794"/>
        <w:docPartObj>
          <w:docPartGallery w:val="Table of Contents"/>
          <w:docPartUnique/>
        </w:docPartObj>
      </w:sdtPr>
      <w:sdtEndPr>
        <w:rPr>
          <w:rFonts w:ascii="Times New Roman" w:eastAsiaTheme="minorHAnsi" w:hAnsi="Times New Roman" w:cstheme="minorBidi"/>
          <w:b/>
          <w:bCs/>
          <w:noProof/>
          <w:color w:val="262626" w:themeColor="text1" w:themeTint="D9"/>
          <w:kern w:val="2"/>
          <w:sz w:val="22"/>
          <w:szCs w:val="24"/>
          <w14:ligatures w14:val="standardContextual"/>
        </w:rPr>
      </w:sdtEndPr>
      <w:sdtContent>
        <w:p w14:paraId="11FFB448" w14:textId="1BD77E2E" w:rsidR="00DF6FA8" w:rsidRDefault="00DF6FA8">
          <w:pPr>
            <w:pStyle w:val="TOCHeading"/>
          </w:pPr>
          <w:r>
            <w:t>Contents</w:t>
          </w:r>
        </w:p>
        <w:p w14:paraId="784FA333" w14:textId="515B1ABD" w:rsidR="00CD0E1A" w:rsidRDefault="00DF6FA8">
          <w:pPr>
            <w:pStyle w:val="TOC1"/>
            <w:tabs>
              <w:tab w:val="right" w:leader="dot" w:pos="973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763681" w:history="1">
            <w:r w:rsidR="00CD0E1A" w:rsidRPr="00AC4CE1">
              <w:rPr>
                <w:rStyle w:val="Hyperlink"/>
                <w:noProof/>
              </w:rPr>
              <w:t>Abstract</w:t>
            </w:r>
            <w:r w:rsidR="00CD0E1A">
              <w:rPr>
                <w:noProof/>
                <w:webHidden/>
              </w:rPr>
              <w:tab/>
            </w:r>
            <w:r w:rsidR="00CD0E1A">
              <w:rPr>
                <w:noProof/>
                <w:webHidden/>
              </w:rPr>
              <w:fldChar w:fldCharType="begin"/>
            </w:r>
            <w:r w:rsidR="00CD0E1A">
              <w:rPr>
                <w:noProof/>
                <w:webHidden/>
              </w:rPr>
              <w:instrText xml:space="preserve"> PAGEREF _Toc234763681 \h </w:instrText>
            </w:r>
            <w:r w:rsidR="00CD0E1A">
              <w:rPr>
                <w:noProof/>
                <w:webHidden/>
              </w:rPr>
            </w:r>
            <w:r w:rsidR="00CD0E1A">
              <w:rPr>
                <w:noProof/>
                <w:webHidden/>
              </w:rPr>
              <w:fldChar w:fldCharType="separate"/>
            </w:r>
            <w:r w:rsidR="00CD0E1A">
              <w:rPr>
                <w:noProof/>
                <w:webHidden/>
              </w:rPr>
              <w:t>1</w:t>
            </w:r>
            <w:r w:rsidR="00CD0E1A">
              <w:rPr>
                <w:noProof/>
                <w:webHidden/>
              </w:rPr>
              <w:fldChar w:fldCharType="end"/>
            </w:r>
          </w:hyperlink>
        </w:p>
        <w:p w14:paraId="2234CF38" w14:textId="29057BEB" w:rsidR="00CD0E1A" w:rsidRDefault="00CD0E1A">
          <w:pPr>
            <w:pStyle w:val="TOC1"/>
            <w:tabs>
              <w:tab w:val="right" w:leader="dot" w:pos="9736"/>
            </w:tabs>
            <w:rPr>
              <w:rFonts w:cstheme="minorBidi"/>
              <w:noProof/>
              <w:kern w:val="2"/>
              <w:sz w:val="24"/>
              <w:szCs w:val="24"/>
              <w14:ligatures w14:val="standardContextual"/>
            </w:rPr>
          </w:pPr>
          <w:hyperlink w:anchor="_Toc234763682" w:history="1">
            <w:r w:rsidRPr="00AC4CE1">
              <w:rPr>
                <w:rStyle w:val="Hyperlink"/>
                <w:noProof/>
              </w:rPr>
              <w:t>Literature Review</w:t>
            </w:r>
            <w:r>
              <w:rPr>
                <w:noProof/>
                <w:webHidden/>
              </w:rPr>
              <w:tab/>
            </w:r>
            <w:r>
              <w:rPr>
                <w:noProof/>
                <w:webHidden/>
              </w:rPr>
              <w:fldChar w:fldCharType="begin"/>
            </w:r>
            <w:r>
              <w:rPr>
                <w:noProof/>
                <w:webHidden/>
              </w:rPr>
              <w:instrText xml:space="preserve"> PAGEREF _Toc234763682 \h </w:instrText>
            </w:r>
            <w:r>
              <w:rPr>
                <w:noProof/>
                <w:webHidden/>
              </w:rPr>
            </w:r>
            <w:r>
              <w:rPr>
                <w:noProof/>
                <w:webHidden/>
              </w:rPr>
              <w:fldChar w:fldCharType="separate"/>
            </w:r>
            <w:r>
              <w:rPr>
                <w:noProof/>
                <w:webHidden/>
              </w:rPr>
              <w:t>3</w:t>
            </w:r>
            <w:r>
              <w:rPr>
                <w:noProof/>
                <w:webHidden/>
              </w:rPr>
              <w:fldChar w:fldCharType="end"/>
            </w:r>
          </w:hyperlink>
        </w:p>
        <w:p w14:paraId="5EFE5C34" w14:textId="5A0CEEF2" w:rsidR="00CD0E1A" w:rsidRDefault="00CD0E1A">
          <w:pPr>
            <w:pStyle w:val="TOC1"/>
            <w:tabs>
              <w:tab w:val="right" w:leader="dot" w:pos="9736"/>
            </w:tabs>
            <w:rPr>
              <w:rFonts w:cstheme="minorBidi"/>
              <w:noProof/>
              <w:kern w:val="2"/>
              <w:sz w:val="24"/>
              <w:szCs w:val="24"/>
              <w14:ligatures w14:val="standardContextual"/>
            </w:rPr>
          </w:pPr>
          <w:hyperlink w:anchor="_Toc234763683" w:history="1">
            <w:r w:rsidRPr="00AC4CE1">
              <w:rPr>
                <w:rStyle w:val="Hyperlink"/>
                <w:noProof/>
              </w:rPr>
              <w:t>References</w:t>
            </w:r>
            <w:r>
              <w:rPr>
                <w:noProof/>
                <w:webHidden/>
              </w:rPr>
              <w:tab/>
            </w:r>
            <w:r>
              <w:rPr>
                <w:noProof/>
                <w:webHidden/>
              </w:rPr>
              <w:fldChar w:fldCharType="begin"/>
            </w:r>
            <w:r>
              <w:rPr>
                <w:noProof/>
                <w:webHidden/>
              </w:rPr>
              <w:instrText xml:space="preserve"> PAGEREF _Toc234763683 \h </w:instrText>
            </w:r>
            <w:r>
              <w:rPr>
                <w:noProof/>
                <w:webHidden/>
              </w:rPr>
            </w:r>
            <w:r>
              <w:rPr>
                <w:noProof/>
                <w:webHidden/>
              </w:rPr>
              <w:fldChar w:fldCharType="separate"/>
            </w:r>
            <w:r>
              <w:rPr>
                <w:noProof/>
                <w:webHidden/>
              </w:rPr>
              <w:t>9</w:t>
            </w:r>
            <w:r>
              <w:rPr>
                <w:noProof/>
                <w:webHidden/>
              </w:rPr>
              <w:fldChar w:fldCharType="end"/>
            </w:r>
          </w:hyperlink>
        </w:p>
        <w:p w14:paraId="19B3EAED" w14:textId="5F240DF5" w:rsidR="00DF6FA8" w:rsidRDefault="00DF6FA8">
          <w:r>
            <w:rPr>
              <w:b/>
              <w:bCs/>
              <w:noProof/>
            </w:rPr>
            <w:fldChar w:fldCharType="end"/>
          </w:r>
        </w:p>
      </w:sdtContent>
    </w:sdt>
    <w:p w14:paraId="2DC68AFC" w14:textId="582547E8" w:rsidR="00D25370" w:rsidRDefault="00DF6FA8" w:rsidP="00D25370">
      <w:pPr>
        <w:bidi/>
      </w:pPr>
      <w:r>
        <w:rPr>
          <w:rtl/>
        </w:rPr>
        <w:br w:type="page"/>
      </w:r>
    </w:p>
    <w:p w14:paraId="43A397DA" w14:textId="77777777" w:rsidR="00D25370" w:rsidRDefault="00D25370" w:rsidP="00D25370">
      <w:pPr>
        <w:bidi/>
      </w:pPr>
    </w:p>
    <w:p w14:paraId="2BE95142" w14:textId="77777777" w:rsidR="00D25370" w:rsidRDefault="00D25370" w:rsidP="00D25370">
      <w:pPr>
        <w:bidi/>
      </w:pPr>
    </w:p>
    <w:p w14:paraId="35B62E04" w14:textId="77777777" w:rsidR="00D25370" w:rsidRDefault="00D25370" w:rsidP="00D25370">
      <w:pPr>
        <w:bidi/>
      </w:pPr>
    </w:p>
    <w:p w14:paraId="2971E2E5" w14:textId="77777777" w:rsidR="00D25370" w:rsidRDefault="00D25370" w:rsidP="00D25370">
      <w:pPr>
        <w:bidi/>
      </w:pPr>
    </w:p>
    <w:p w14:paraId="3BC5A559" w14:textId="77777777" w:rsidR="00D25370" w:rsidRDefault="00D25370" w:rsidP="00D25370">
      <w:pPr>
        <w:bidi/>
      </w:pPr>
    </w:p>
    <w:p w14:paraId="54661F4C" w14:textId="77777777" w:rsidR="00D25370" w:rsidRDefault="00D25370" w:rsidP="00D25370">
      <w:pPr>
        <w:bidi/>
      </w:pPr>
    </w:p>
    <w:p w14:paraId="484F29E2" w14:textId="77777777" w:rsidR="00D25370" w:rsidRDefault="00D25370" w:rsidP="00D25370">
      <w:pPr>
        <w:bidi/>
      </w:pPr>
    </w:p>
    <w:p w14:paraId="593C5712" w14:textId="3BE07A74" w:rsidR="00504FBB" w:rsidRDefault="00DD4BAE" w:rsidP="00186D08">
      <w:pPr>
        <w:pStyle w:val="Title2"/>
        <w:ind w:left="0"/>
      </w:pPr>
      <w:bookmarkStart w:id="2" w:name="_Toc234763682"/>
      <w:r w:rsidRPr="00504FBB">
        <w:t>Literature Review</w:t>
      </w:r>
      <w:bookmarkEnd w:id="2"/>
    </w:p>
    <w:p w14:paraId="0C2895A4" w14:textId="77777777" w:rsidR="00D25370" w:rsidRDefault="00D25370" w:rsidP="00B332A1">
      <w:pPr>
        <w:jc w:val="both"/>
      </w:pPr>
    </w:p>
    <w:p w14:paraId="2FBF1334" w14:textId="77777777" w:rsidR="00D25370" w:rsidRDefault="00D25370" w:rsidP="00B332A1">
      <w:pPr>
        <w:jc w:val="both"/>
      </w:pPr>
    </w:p>
    <w:p w14:paraId="3A197434" w14:textId="0C017A57" w:rsidR="00DD4BAE" w:rsidRDefault="00DD4BAE" w:rsidP="00B332A1">
      <w:pPr>
        <w:jc w:val="both"/>
        <w:rPr>
          <w:rFonts w:cs="Arial"/>
        </w:rPr>
      </w:pPr>
      <w:r w:rsidRPr="00DD4BAE">
        <w:t>The postwar Japanese economic miracle (c. 1950–1973) exemplifies rapid industrialization driven by business adaptation, government policies, and institutional evolution. This review synthesizes three key works—</w:t>
      </w:r>
      <w:r w:rsidR="00BD0EC1" w:rsidRPr="00BD0EC1">
        <w:t xml:space="preserve"> </w:t>
      </w:r>
      <w:r w:rsidR="00BD0EC1" w:rsidRPr="00BD0EC1">
        <w:t>Addicott, David A. C. (2017)</w:t>
      </w:r>
      <w:r w:rsidR="00BD0EC1">
        <w:t xml:space="preserve">, </w:t>
      </w:r>
      <w:r w:rsidRPr="00DD4BAE">
        <w:t>Grabowiecki (2006), and Takada (1999)—focusing on business owners' actions at inflection points, supporting policies, and resulting economic outcomes. These papers collectively illuminate the transition from prewar zaibatsu conglomerates to postwar keiretsu networks, highlighting how relational governance and policy coordination fueled growth while revealing structural limitations. APA citations are used throughout</w:t>
      </w:r>
      <w:r w:rsidRPr="00DD4BAE">
        <w:rPr>
          <w:rFonts w:cs="Arial"/>
          <w:rtl/>
        </w:rPr>
        <w:t>.</w:t>
      </w:r>
    </w:p>
    <w:p w14:paraId="33C989BE" w14:textId="12F0B6E1" w:rsidR="00815E64" w:rsidRPr="00DD4BAE" w:rsidRDefault="00815E64" w:rsidP="00815E64">
      <w:pPr>
        <w:jc w:val="both"/>
      </w:pPr>
      <w:r>
        <w:rPr>
          <w:rFonts w:cs="Arial"/>
        </w:rPr>
        <w:t xml:space="preserve">Keiretsu was quite the start of the post-modern inter-firm networks that emerged after the postwar dissolution (and denazification) of a family-controlled conglomerates name Zaibatsu. They were clusters of independent companies linked by </w:t>
      </w:r>
      <w:r w:rsidR="00AE0F3F">
        <w:rPr>
          <w:rFonts w:cs="Arial"/>
        </w:rPr>
        <w:t>an economic institution which made them have a cross-shareholding policy</w:t>
      </w:r>
      <w:r w:rsidR="00AE0F3F" w:rsidRPr="00AE0F3F">
        <w:t xml:space="preserve"> </w:t>
      </w:r>
      <w:r w:rsidR="00AE0F3F" w:rsidRPr="00DD4BAE">
        <w:t>Grabowiecki (2006)</w:t>
      </w:r>
      <w:r w:rsidR="00AE0F3F">
        <w:rPr>
          <w:rFonts w:cs="Arial"/>
        </w:rPr>
        <w:t xml:space="preserve">. This kind of institution reshaped the competition in the business market of Japan and to some extent, it was a fine stepping stone for Japan’s Economy. The Keiretsu system fell into horizontal and vertical types. Business owners had high incentives to be a part of keiretsu due to stable capital, information flow, and coordinated investment. </w:t>
      </w:r>
    </w:p>
    <w:p w14:paraId="7392A2C7" w14:textId="2212DB2E" w:rsidR="00DD4BAE" w:rsidRPr="00DD4BAE" w:rsidRDefault="00B332A1" w:rsidP="00B332A1">
      <w:pPr>
        <w:jc w:val="both"/>
      </w:pPr>
      <w:r w:rsidRPr="00B332A1">
        <w:t>Addicott, David A. C. (2017)</w:t>
      </w:r>
      <w:r w:rsidRPr="00B332A1">
        <w:t xml:space="preserve"> </w:t>
      </w:r>
      <w:r w:rsidR="00DD4BAE" w:rsidRPr="00DD4BAE">
        <w:t>provides a historical overview of the zaibatsu's rise and dissolution, emphasizing their role in Japan's modernization and the policy-driven shifts that reshaped business strategies. Zaibatsu—family-controlled conglomerates like Mitsui, Mitsubishi, Sumitomo, and Yasuda—emerged during the Meiji Restoration (1868 onward) as vehicles for state-led industrialization. Business owners leveraged political connections ("political merchants") to secure monopolistic advantages in banking, trading, mining, and manufacturing. By the interwar period, these groups dominated the economy, financing military expansion and wartime production</w:t>
      </w:r>
      <w:r w:rsidR="00DD4BAE" w:rsidRPr="00DD4BAE">
        <w:rPr>
          <w:rFonts w:cs="Arial"/>
          <w:rtl/>
        </w:rPr>
        <w:t>.</w:t>
      </w:r>
    </w:p>
    <w:p w14:paraId="2D5557B9" w14:textId="77292390" w:rsidR="00B332A1" w:rsidRPr="00DD4BAE" w:rsidRDefault="00DD4BAE" w:rsidP="00B332A1">
      <w:pPr>
        <w:jc w:val="both"/>
      </w:pPr>
      <w:r w:rsidRPr="00DD4BAE">
        <w:t xml:space="preserve">SCAP occupation policies (1945–1952) marked a critical inflection point. Antitrust reforms mandated zaibatsu dissolution to democratize the economy and prevent militarism's recurrence. Holding companies were banned, family assets liquidated, and cross-holdings dismantled. Addicott details how these policies forced business leaders to adapt: former affiliates reorganized into looser, bank-centered </w:t>
      </w:r>
      <w:r w:rsidRPr="00B332A1">
        <w:t>keiretsu</w:t>
      </w:r>
      <w:r w:rsidRPr="00DD4BAE">
        <w:t>. This transition preserved core competencies in relational contracting while introducing greater competition. Policies such as land reform and labor democratization complemented these changes, creating a skilled workforce and broader domestic market</w:t>
      </w:r>
      <w:r w:rsidRPr="00DD4BAE">
        <w:rPr>
          <w:rFonts w:cs="Arial"/>
          <w:rtl/>
        </w:rPr>
        <w:t>.</w:t>
      </w:r>
    </w:p>
    <w:p w14:paraId="5D363C3B" w14:textId="37A48338" w:rsidR="00815E64" w:rsidRPr="00AE0F3F" w:rsidRDefault="00DD4BAE" w:rsidP="00AE0F3F">
      <w:pPr>
        <w:jc w:val="both"/>
        <w:rPr>
          <w:rFonts w:cs="Arial"/>
        </w:rPr>
      </w:pPr>
      <w:r w:rsidRPr="00DD4BAE">
        <w:lastRenderedPageBreak/>
        <w:t>Outcomes were largely positive in the short term. Freed from family control, professional managers pursued aggressive investment and technology adoption, supported by MITI</w:t>
      </w:r>
      <w:r w:rsidR="00815E64">
        <w:t xml:space="preserve"> (</w:t>
      </w:r>
      <w:r w:rsidR="00815E64" w:rsidRPr="00815E64">
        <w:t>Ministry of International Trade and Industry, 1949–2001; later METI</w:t>
      </w:r>
      <w:r w:rsidR="00815E64">
        <w:t>)</w:t>
      </w:r>
      <w:r w:rsidRPr="00DD4BAE">
        <w:t xml:space="preserve"> guidance and Bank of Japan financing. Addicott argues this restructuring laid the foundation for export-led growth, with keiretsu enabling risk-sharing and long-term planning. However, incomplete dissolution allowed informal networks to persist, contributing to the "Japanese model" of coordinated capitalism. Criticisms in the literature (echoed by Addicott) note that reforms inadvertently concentrated power in banks, </w:t>
      </w:r>
      <w:r w:rsidR="00B332A1">
        <w:t xml:space="preserve">which we have seen the effects in </w:t>
      </w:r>
      <w:r w:rsidRPr="00DD4BAE">
        <w:t>asset bubbles. Business actions</w:t>
      </w:r>
      <w:r w:rsidR="00815E64">
        <w:t xml:space="preserve"> for </w:t>
      </w:r>
      <w:r w:rsidRPr="00DD4BAE">
        <w:t>diversification into heavy industries and quality-focused production</w:t>
      </w:r>
      <w:r w:rsidR="00815E64">
        <w:t>, accomplished</w:t>
      </w:r>
      <w:r w:rsidRPr="00DD4BAE">
        <w:t xml:space="preserve"> high growth but embedded rigidities, such as lifetime employment, that strained adaptability post-1970s</w:t>
      </w:r>
      <w:r w:rsidRPr="00DD4BAE">
        <w:rPr>
          <w:rFonts w:cs="Arial"/>
          <w:rtl/>
        </w:rPr>
        <w:t>.</w:t>
      </w:r>
    </w:p>
    <w:p w14:paraId="193A6770" w14:textId="4B5D7EFB" w:rsidR="00DD4BAE" w:rsidRPr="00DD4BAE" w:rsidRDefault="00DD4BAE" w:rsidP="00B332A1">
      <w:pPr>
        <w:jc w:val="both"/>
      </w:pPr>
      <w:r w:rsidRPr="00DD4BAE">
        <w:t xml:space="preserve">Grabowiecki (2006) delves deeper into keiretsu as the postwar successor to zaibatsu, examining their organizational mechanics, governance, and macroeconomic impact. Horizontal keiretsu </w:t>
      </w:r>
      <w:r w:rsidR="00AE0F3F">
        <w:t xml:space="preserve">for instance </w:t>
      </w:r>
      <w:r w:rsidRPr="00DD4BAE">
        <w:t>Mitsui</w:t>
      </w:r>
      <w:r w:rsidR="00AE0F3F">
        <w:t xml:space="preserve"> and </w:t>
      </w:r>
      <w:r w:rsidRPr="00DD4BAE">
        <w:t>Mitsubishi</w:t>
      </w:r>
      <w:r w:rsidR="00AE0F3F">
        <w:t>,</w:t>
      </w:r>
      <w:r w:rsidRPr="00DD4BAE">
        <w:t xml:space="preserve"> featured diversified industries linked by president</w:t>
      </w:r>
      <w:r w:rsidR="00AE0F3F">
        <w:t>’</w:t>
      </w:r>
      <w:r w:rsidRPr="00DD4BAE">
        <w:t>s clubs, cross-shareholding</w:t>
      </w:r>
      <w:r w:rsidR="00AE0F3F">
        <w:t xml:space="preserve">, </w:t>
      </w:r>
      <w:r w:rsidRPr="00DD4BAE">
        <w:t>and main bank relationships. Vertical keiretsu</w:t>
      </w:r>
      <w:r w:rsidR="00AE0F3F">
        <w:t xml:space="preserve">, </w:t>
      </w:r>
      <w:r w:rsidRPr="00DD4BAE">
        <w:t>Toyota</w:t>
      </w:r>
      <w:r w:rsidR="00AE0F3F">
        <w:t xml:space="preserve"> for example,</w:t>
      </w:r>
      <w:r w:rsidRPr="00DD4BAE">
        <w:t xml:space="preserve"> organized tiered supplier networks around a core assembler, emphasizing just-in-time production and long-term contracting</w:t>
      </w:r>
      <w:r w:rsidRPr="00DD4BAE">
        <w:rPr>
          <w:rFonts w:cs="Arial"/>
          <w:rtl/>
        </w:rPr>
        <w:t>.</w:t>
      </w:r>
    </w:p>
    <w:p w14:paraId="709EFBD7" w14:textId="77777777" w:rsidR="00DD4BAE" w:rsidRPr="00DD4BAE" w:rsidRDefault="00DD4BAE" w:rsidP="00B332A1">
      <w:pPr>
        <w:jc w:val="both"/>
      </w:pPr>
      <w:r w:rsidRPr="00DD4BAE">
        <w:t>Business owners in these groups acted strategically at multiple inflection points. During high growth, they channeled U.S. aid, Korean War procurements, and domestic savings into capital-intensive sectors. Policies like the Income Doubling Plan (1960) provided indicative guidance, while financial repression (low interest rates, directed credit) supported keiretsu expansion. Grabowiecki highlights functions such as information sharing (via sogo shosha trading companies), risk distribution (mutual support during downturns), internal capital markets (reducing external financing costs), and strategic coordination (joint R&amp;D and market entry). These mechanisms lowered transaction costs compared to arm's-length Western markets, enabling rapid scaling</w:t>
      </w:r>
      <w:r w:rsidRPr="00DD4BAE">
        <w:rPr>
          <w:rFonts w:cs="Arial"/>
          <w:rtl/>
        </w:rPr>
        <w:t>.</w:t>
      </w:r>
    </w:p>
    <w:p w14:paraId="1E30643D" w14:textId="451005E5" w:rsidR="00DD4BAE" w:rsidRPr="00DD4BAE" w:rsidRDefault="00DD4BAE" w:rsidP="00B332A1">
      <w:pPr>
        <w:jc w:val="both"/>
      </w:pPr>
      <w:r w:rsidRPr="00DD4BAE">
        <w:t xml:space="preserve">Empirical outcomes were impressive: keiretsu firms achieved superior productivity, technological upgrading, and export competitiveness, closing the gap with Western economies. Grabowiecki notes their role in "industrial dirigisme," where state-created capital flowed efficiently through group channels, mitigating coordination failures in large projects. Cross-shareholding insulated managers from short-term shareholder pressure, fostering patient capital and innovation diffusion. Labor </w:t>
      </w:r>
      <w:r w:rsidR="00CC118B">
        <w:t xml:space="preserve">unions </w:t>
      </w:r>
      <w:r w:rsidRPr="00DD4BAE">
        <w:t>further aligned worker and firm interests, boosting morale and firm-specific skills</w:t>
      </w:r>
      <w:r w:rsidRPr="00DD4BAE">
        <w:rPr>
          <w:rFonts w:cs="Arial"/>
          <w:rtl/>
        </w:rPr>
        <w:t>.</w:t>
      </w:r>
    </w:p>
    <w:p w14:paraId="418238D3" w14:textId="77777777" w:rsidR="00DD4BAE" w:rsidRPr="00DD4BAE" w:rsidRDefault="00DD4BAE" w:rsidP="00B332A1">
      <w:pPr>
        <w:jc w:val="both"/>
      </w:pPr>
      <w:r w:rsidRPr="00DD4BAE">
        <w:t>However, Grabowiecki cautions on long-term drawbacks. By the 1980s–1990s, keiretsu rigidity contributed to inefficiency amid globalization and financial deregulation. "Success as the source of failure" dynamics emerged, where cooperative norms discouraged radical innovation and exit from declining sectors. Comparative analysis with Polish and other transition economies suggests keiretsu-like groups require specific institutional preconditions (trust, main bank stability) not easily replicated. Business adaptation post-bubble involved unwinding cross-holdings and internationalizing, but with mixed results due to legacy commitments</w:t>
      </w:r>
      <w:r w:rsidRPr="00DD4BAE">
        <w:rPr>
          <w:rFonts w:cs="Arial"/>
          <w:rtl/>
        </w:rPr>
        <w:t>.</w:t>
      </w:r>
    </w:p>
    <w:p w14:paraId="2F9F9179" w14:textId="4302F8D4" w:rsidR="00DD4BAE" w:rsidRPr="00DD4BAE" w:rsidRDefault="00DD4BAE" w:rsidP="00B332A1">
      <w:pPr>
        <w:jc w:val="both"/>
      </w:pPr>
      <w:r w:rsidRPr="00DD4BAE">
        <w:t>Takada (1999) complements the structural focus of the prior works by emphasizing multifaceted underlying factors and business strategies during the miracle. SCAP reforms</w:t>
      </w:r>
      <w:r w:rsidR="00CC118B">
        <w:t xml:space="preserve"> (</w:t>
      </w:r>
      <w:r w:rsidRPr="00DD4BAE">
        <w:t>zaibatsu breakup, land reform, and labor democratization</w:t>
      </w:r>
      <w:r w:rsidR="00CC118B">
        <w:t xml:space="preserve">) </w:t>
      </w:r>
      <w:r w:rsidRPr="00DD4BAE">
        <w:t>created a level playing field that business leaders exploited. The Korean War (1950–1953) served as an exogenous boost, providing special procurements that injected foreign exchange and demand, enabling technology imports and capacity building</w:t>
      </w:r>
      <w:r w:rsidRPr="00DD4BAE">
        <w:rPr>
          <w:rFonts w:cs="Arial"/>
          <w:rtl/>
        </w:rPr>
        <w:t>.</w:t>
      </w:r>
    </w:p>
    <w:p w14:paraId="5392B180" w14:textId="0E379661" w:rsidR="00186D08" w:rsidRDefault="00DD4BAE" w:rsidP="00FB338C">
      <w:pPr>
        <w:jc w:val="both"/>
        <w:rPr>
          <w:rtl/>
        </w:rPr>
      </w:pPr>
      <w:r w:rsidRPr="00DD4BAE">
        <w:t>Business owners prioritized heavy and chemical industries per MITI priorities, investing in imported machinery and process improvements</w:t>
      </w:r>
      <w:r w:rsidR="00CC118B">
        <w:t xml:space="preserve"> </w:t>
      </w:r>
      <w:r w:rsidR="00CC118B" w:rsidRPr="00CC118B">
        <w:t>Takada (1999)</w:t>
      </w:r>
      <w:r w:rsidRPr="00DD4BAE">
        <w:t xml:space="preserve">. Strategies included aggressive exporting under undervalued yen (Bretton Woods fixed rate), quality enhancement (inspired by Deming), and supply chain integration within emerging keiretsu. High household savings, channeled through postal savings and banks, </w:t>
      </w:r>
      <w:r w:rsidRPr="00DD4BAE">
        <w:lastRenderedPageBreak/>
        <w:t>financed this without heavy foreign debt. Education expansion produced a disciplined, literate workforce, while cultural factors like group orientation supported cooperative competition</w:t>
      </w:r>
      <w:r w:rsidRPr="00DD4BAE">
        <w:rPr>
          <w:rFonts w:cs="Arial"/>
          <w:rtl/>
        </w:rPr>
        <w:t>.</w:t>
      </w:r>
    </w:p>
    <w:p w14:paraId="53366C61" w14:textId="005F71EF" w:rsidR="00186D08" w:rsidRDefault="00186D08" w:rsidP="00186D08">
      <w:pPr>
        <w:jc w:val="both"/>
      </w:pPr>
      <w:r>
        <w:t xml:space="preserve">On the international basis, and specifically the foundation of U.S alliance in favor of Japan’s growth, </w:t>
      </w:r>
      <w:r>
        <w:t>Beckley et al. (2018) emphasize the indispensable role of the United States in facilitating Japan’s economic resurgence, framing the U.S.-Japan alliance as a security and economic enabler rather than mere backdrop. Following defeat in World War II, Japan faced devastation, but U.S. occupation policies and subsequent Cold War strategy provided critical support. Business leaders benefited from reduced defense expenditures</w:t>
      </w:r>
      <w:r>
        <w:t xml:space="preserve">, </w:t>
      </w:r>
      <w:r>
        <w:t xml:space="preserve">allowing reallocation of resources toward industrial investment. </w:t>
      </w:r>
    </w:p>
    <w:p w14:paraId="69E89A48" w14:textId="59D3831A" w:rsidR="00186D08" w:rsidRDefault="00186D08" w:rsidP="00186D08">
      <w:pPr>
        <w:jc w:val="both"/>
      </w:pPr>
      <w:r>
        <w:t>At key inflection points, such as the immediate postwar recovery and the 1950s–1960s export push, Japanese firms</w:t>
      </w:r>
      <w:r>
        <w:t xml:space="preserve"> (</w:t>
      </w:r>
      <w:r>
        <w:t>reorganizing from dismantled zaibatsu into keiretsu structures</w:t>
      </w:r>
      <w:r>
        <w:t xml:space="preserve">) </w:t>
      </w:r>
      <w:r>
        <w:t xml:space="preserve">capitalized on American procurement during the Korean War and favorable trade terms. Policies like the Security Treaty (1951, revised 1960) insulated Japan from geopolitical risks, freeing capital for MITI-guided industrialization. Beckley et al. argue that without this alliance, Japan’s high savings, educational investments, and industrial policies would have yielded far slower results. </w:t>
      </w:r>
    </w:p>
    <w:p w14:paraId="3D3CBE93" w14:textId="225952FD" w:rsidR="00186D08" w:rsidRDefault="00186D08" w:rsidP="00186D08">
      <w:pPr>
        <w:jc w:val="both"/>
      </w:pPr>
      <w:r>
        <w:t>Business owners acted pragmatically: adopting American management techniques (e.g., quality control), investing in heavy industries, and pursuing scale via group coordination. Outcomes included rapid GDP expansion (averaging over 10% annually during the high-growth era), technological leapfrogging, and Japan’s emergence as a global exporter. However, the paper notes dependencies—over-reliance on U.S. markets exposed vulnerabilities during later shocks like the Nixon administration’s policy shifts. Beckley et al. (2018) thus portray the alliance as a double-edged sword: a catalyst for miracle-level growth that embedded structural reliance, influencing business strategies toward export orientation and relational governance well into the late 20th century</w:t>
      </w:r>
      <w:r>
        <w:rPr>
          <w:rFonts w:cs="Arial"/>
          <w:rtl/>
        </w:rPr>
        <w:t>.</w:t>
      </w:r>
    </w:p>
    <w:p w14:paraId="53896269" w14:textId="77777777" w:rsidR="00186D08" w:rsidRDefault="00186D08" w:rsidP="00186D08">
      <w:pPr>
        <w:jc w:val="both"/>
      </w:pPr>
      <w:r>
        <w:t>G</w:t>
      </w:r>
      <w:r w:rsidRPr="00FB338C">
        <w:t>oodin</w:t>
      </w:r>
      <w:r>
        <w:t>g (2026) situates Japan’s miracle within evolving international monetary and geopolitical frameworks, analyzing Bretton Woods, the Nixon Shock, and China’s rise as successive inflection points. The fixed exchange rate regime (¥360 per USD) under Bretton Woods provided undervaluation advantages, enabling export competitiveness and stable planning for business leaders. Combined with domestic policies, this fostered capital accumulation and industrial upgrading in sectors prioritized by government-business coordination</w:t>
      </w:r>
      <w:r>
        <w:rPr>
          <w:rFonts w:cs="Arial"/>
          <w:rtl/>
        </w:rPr>
        <w:t>.</w:t>
      </w:r>
    </w:p>
    <w:p w14:paraId="58913082" w14:textId="77777777" w:rsidR="00186D08" w:rsidRDefault="00186D08" w:rsidP="00186D08">
      <w:pPr>
        <w:jc w:val="both"/>
      </w:pPr>
      <w:r>
        <w:t>Business actions during the miracle era involved heavy borrowing for technology imports and capacity expansion, supported by keiretsu internal markets and MITI direction. Gooding details how the system allowed firms to pursue aggressive market share strategies with predictable costs. The 1971 Nixon Shock—ending dollar-gold convertibility and pressuring yen appreciation—marked a turning point, forcing revaluation, inflation management, and structural adjustment. Japanese companies responded by enhancing productivity, relocating production overseas, and diversifying into high-value goods (e.g., electronics, automobiles). Subsequent China opening and WTO integration intensified competition, shifting global supply chains and pressuring Japan’s model</w:t>
      </w:r>
      <w:r>
        <w:rPr>
          <w:rFonts w:cs="Arial"/>
          <w:rtl/>
        </w:rPr>
        <w:t>.</w:t>
      </w:r>
    </w:p>
    <w:p w14:paraId="724A3CF0" w14:textId="596FB896" w:rsidR="00186D08" w:rsidRDefault="00186D08" w:rsidP="00FB338C">
      <w:pPr>
        <w:jc w:val="both"/>
      </w:pPr>
      <w:r>
        <w:t xml:space="preserve">Policy responses included floating the yen, fiscal stimulus, and later </w:t>
      </w:r>
      <w:r w:rsidR="00180BF2">
        <w:t>“</w:t>
      </w:r>
      <w:r>
        <w:t>Abenomics-style reforms,</w:t>
      </w:r>
      <w:r w:rsidR="00180BF2">
        <w:t>”</w:t>
      </w:r>
      <w:r>
        <w:t xml:space="preserve"> but Gooding critiques delays in addressing keiretsu rigidities and demographic challenges. Economic outcomes were dual: the miracle delivered world-second-largest economy status by the late 1960s, with gains in living standards and infrastructure; yet post-1990s stagnation (“Lost Decades”) reflected adjustment frictions, asset bubbles, and relative declin</w:t>
      </w:r>
      <w:r w:rsidR="00180BF2">
        <w:t>e</w:t>
      </w:r>
      <w:r>
        <w:t xml:space="preserve">. Gooding integrates institutional economics and developmental state theory, arguing that synergistic interactions of undervalued currency, and business </w:t>
      </w:r>
      <w:r w:rsidR="00180BF2">
        <w:t>relationships</w:t>
      </w:r>
      <w:r>
        <w:t xml:space="preserve"> explain the rise, while global </w:t>
      </w:r>
      <w:r w:rsidR="00180BF2">
        <w:t xml:space="preserve">had limitations being forced through the economy. </w:t>
      </w:r>
    </w:p>
    <w:p w14:paraId="26790889" w14:textId="7D214682" w:rsidR="000D1C2D" w:rsidRDefault="00186D08" w:rsidP="00FB338C">
      <w:pPr>
        <w:jc w:val="both"/>
        <w:rPr>
          <w:rFonts w:cs="Arial"/>
        </w:rPr>
      </w:pPr>
      <w:r>
        <w:lastRenderedPageBreak/>
        <w:t xml:space="preserve">Yoshioka and Kawasaki (2016) focus on Japan’s internal economic planning apparatus, detailing fiscal, monetary, and indicative planning tools that guided high-growth policies. Postwar </w:t>
      </w:r>
      <w:r w:rsidR="00180BF2">
        <w:t xml:space="preserve">policies </w:t>
      </w:r>
      <w:r>
        <w:t>from the</w:t>
      </w:r>
      <w:r w:rsidR="00180BF2">
        <w:t xml:space="preserve"> economic institutions like keiretsu to the</w:t>
      </w:r>
      <w:r>
        <w:t xml:space="preserve"> </w:t>
      </w:r>
      <w:r w:rsidR="00180BF2">
        <w:t>n</w:t>
      </w:r>
      <w:r>
        <w:t xml:space="preserve">ational </w:t>
      </w:r>
      <w:r w:rsidR="00180BF2">
        <w:t>i</w:t>
      </w:r>
      <w:r>
        <w:t xml:space="preserve">ncome </w:t>
      </w:r>
      <w:r w:rsidR="00180BF2">
        <w:t>d</w:t>
      </w:r>
      <w:r>
        <w:t xml:space="preserve">oubling </w:t>
      </w:r>
      <w:r w:rsidR="00180BF2">
        <w:t>p</w:t>
      </w:r>
      <w:r>
        <w:t>lan</w:t>
      </w:r>
      <w:r w:rsidR="00180BF2">
        <w:t xml:space="preserve"> </w:t>
      </w:r>
      <w:r>
        <w:t>served dual roles</w:t>
      </w:r>
      <w:r w:rsidR="00180BF2">
        <w:t>. Firstly,</w:t>
      </w:r>
      <w:r>
        <w:t xml:space="preserve"> coordinating government actions to avoid inconsistencies</w:t>
      </w:r>
      <w:r w:rsidR="00180BF2">
        <w:t>, and secondly,</w:t>
      </w:r>
      <w:r>
        <w:t xml:space="preserve"> signaling private sector expectations. Business owners used these as roadmaps for investment, aligning production with projected demand in targeted industries</w:t>
      </w:r>
      <w:r>
        <w:rPr>
          <w:rFonts w:cs="Arial"/>
          <w:rtl/>
        </w:rPr>
        <w:t>.</w:t>
      </w:r>
      <w:r w:rsidR="00FB338C">
        <w:rPr>
          <w:rFonts w:cs="Arial"/>
        </w:rPr>
        <w:t xml:space="preserve"> They also </w:t>
      </w:r>
      <w:r>
        <w:t>examine policy instruments such as low-interest loans via the Japan Development Bank, tax incentives for exports, and MITI administrative guidance. These facilitated capital deepening and structural shifts from light to heavy industries. Coordination mechanisms ensured monetary</w:t>
      </w:r>
      <w:r w:rsidR="00180BF2">
        <w:t>, and fiscal</w:t>
      </w:r>
      <w:r>
        <w:t xml:space="preserve"> stability</w:t>
      </w:r>
      <w:r w:rsidR="00180BF2">
        <w:t>. To which served as</w:t>
      </w:r>
      <w:r>
        <w:t xml:space="preserve"> enabling sustained high investment rates without overheating</w:t>
      </w:r>
      <w:r w:rsidR="00FB338C">
        <w:t xml:space="preserve"> the economy</w:t>
      </w:r>
      <w:r>
        <w:t>. At inflection points like trade liberalization (1960s), plans helped businesses adapt by forecasting opportunities and mitigating risks</w:t>
      </w:r>
      <w:r>
        <w:rPr>
          <w:rFonts w:cs="Arial"/>
          <w:rtl/>
        </w:rPr>
        <w:t>.</w:t>
      </w:r>
    </w:p>
    <w:p w14:paraId="46A72C1F" w14:textId="26AE5B53" w:rsidR="00CC118B" w:rsidRDefault="003D365A" w:rsidP="003D365A">
      <w:pPr>
        <w:jc w:val="both"/>
      </w:pPr>
      <w:r w:rsidRPr="003D365A">
        <w:rPr>
          <w:rFonts w:cs="Arial"/>
        </w:rPr>
        <w:t xml:space="preserve">Each of these studies compiles a vital piece of the puzzle regarding the dynamics at Japan’s key economic inflection points and the external factors that shaped its postwar </w:t>
      </w:r>
      <w:r>
        <w:rPr>
          <w:rFonts w:cs="Arial"/>
        </w:rPr>
        <w:t>growth</w:t>
      </w:r>
      <w:r w:rsidRPr="003D365A">
        <w:rPr>
          <w:rFonts w:cs="Arial"/>
        </w:rPr>
        <w:t>. Collectively, they reveal how Japan infused its economic institutions with mechanisms most suitable to its industrial context in the aftermath of World War II</w:t>
      </w:r>
      <w:r>
        <w:rPr>
          <w:rFonts w:cs="Arial"/>
        </w:rPr>
        <w:t xml:space="preserve">; </w:t>
      </w:r>
      <w:r w:rsidRPr="003D365A">
        <w:rPr>
          <w:rFonts w:cs="Arial"/>
        </w:rPr>
        <w:t>ranging from U.S.-backed security and market access to indicative planning and adaptive keiretsu governance. The distinctiveness of Japan’s model, particularly when contrasted with liberal market economies elsewhere, renders it a compelling case for scholarly attention. Understanding what elevated Japan as a “house for titans”</w:t>
      </w:r>
      <w:r>
        <w:rPr>
          <w:rFonts w:cs="Arial"/>
        </w:rPr>
        <w:t xml:space="preserve"> </w:t>
      </w:r>
      <w:r w:rsidRPr="003D365A">
        <w:rPr>
          <w:rFonts w:cs="Arial"/>
        </w:rPr>
        <w:t>provides essential context for evaluating the miracle’s successes and limitations. These works thus not only document historical outcomes but also equip researchers with analytical tools to assess the interplay of agency and structure, offering transferable insights for other late-industrializing economies while highlighting the contingent nature of sustained competitiveness in a changing world order.</w:t>
      </w:r>
    </w:p>
    <w:p w14:paraId="41A1AA84" w14:textId="77777777" w:rsidR="00CC118B" w:rsidRDefault="00CC118B" w:rsidP="000D1C2D"/>
    <w:p w14:paraId="4DF75D54" w14:textId="5610BEDB" w:rsidR="00D25370" w:rsidRDefault="00D25370">
      <w:r>
        <w:br w:type="page"/>
      </w:r>
    </w:p>
    <w:p w14:paraId="5B76AEC6" w14:textId="77777777" w:rsidR="00D25370" w:rsidRDefault="00D25370" w:rsidP="000D1C2D"/>
    <w:p w14:paraId="3C15E0FF" w14:textId="77777777" w:rsidR="00CC118B" w:rsidRDefault="00CC118B" w:rsidP="000D1C2D"/>
    <w:p w14:paraId="065EF590" w14:textId="4AFE2754" w:rsidR="003D365A" w:rsidRDefault="003D365A">
      <w:r>
        <w:br w:type="page"/>
      </w:r>
    </w:p>
    <w:p w14:paraId="133791D8" w14:textId="77777777" w:rsidR="00CC118B" w:rsidRDefault="00CC118B" w:rsidP="000D1C2D"/>
    <w:p w14:paraId="73AF3E04" w14:textId="77777777" w:rsidR="00CC118B" w:rsidRDefault="00CC118B" w:rsidP="000D1C2D"/>
    <w:tbl>
      <w:tblPr>
        <w:tblpPr w:leftFromText="180" w:rightFromText="180" w:vertAnchor="text" w:horzAnchor="page" w:tblpX="9331"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34C32E5E" w14:textId="77777777" w:rsidTr="005554B4">
        <w:tblPrEx>
          <w:tblCellMar>
            <w:top w:w="0" w:type="dxa"/>
            <w:bottom w:w="0" w:type="dxa"/>
          </w:tblCellMar>
        </w:tblPrEx>
        <w:trPr>
          <w:trHeight w:val="101"/>
        </w:trPr>
        <w:tc>
          <w:tcPr>
            <w:tcW w:w="725" w:type="dxa"/>
          </w:tcPr>
          <w:p w14:paraId="3DB06FF0" w14:textId="77777777" w:rsidR="000D1C2D" w:rsidRPr="003E2086" w:rsidRDefault="000D1C2D" w:rsidP="005554B4">
            <w:pPr>
              <w:bidi/>
              <w:ind w:firstLine="0"/>
              <w:jc w:val="center"/>
              <w:rPr>
                <w:iCs/>
              </w:rPr>
            </w:pPr>
            <w:r>
              <w:rPr>
                <w:iCs/>
              </w:rPr>
              <w:t>0</w:t>
            </w:r>
          </w:p>
        </w:tc>
      </w:tr>
      <w:tr w:rsidR="000D1C2D" w14:paraId="4AD31648" w14:textId="77777777" w:rsidTr="005554B4">
        <w:tblPrEx>
          <w:tblCellMar>
            <w:top w:w="0" w:type="dxa"/>
            <w:bottom w:w="0" w:type="dxa"/>
          </w:tblCellMar>
        </w:tblPrEx>
        <w:trPr>
          <w:trHeight w:val="106"/>
        </w:trPr>
        <w:tc>
          <w:tcPr>
            <w:tcW w:w="725" w:type="dxa"/>
          </w:tcPr>
          <w:p w14:paraId="3ED6A05E" w14:textId="77777777" w:rsidR="000D1C2D" w:rsidRPr="003E2086" w:rsidRDefault="000D1C2D" w:rsidP="005554B4">
            <w:pPr>
              <w:ind w:firstLine="0"/>
              <w:jc w:val="center"/>
              <w:rPr>
                <w:iCs/>
              </w:rPr>
            </w:pPr>
            <w:r>
              <w:rPr>
                <w:iCs/>
              </w:rPr>
              <w:t>0</w:t>
            </w:r>
          </w:p>
        </w:tc>
      </w:tr>
      <w:tr w:rsidR="000D1C2D" w14:paraId="7637A255" w14:textId="77777777" w:rsidTr="005554B4">
        <w:tblPrEx>
          <w:tblCellMar>
            <w:top w:w="0" w:type="dxa"/>
            <w:bottom w:w="0" w:type="dxa"/>
          </w:tblCellMar>
        </w:tblPrEx>
        <w:trPr>
          <w:trHeight w:val="113"/>
        </w:trPr>
        <w:tc>
          <w:tcPr>
            <w:tcW w:w="725" w:type="dxa"/>
          </w:tcPr>
          <w:p w14:paraId="1F0AA3B9" w14:textId="2F72323D" w:rsidR="000D1C2D" w:rsidRPr="003E2086" w:rsidRDefault="003D365A" w:rsidP="005554B4">
            <w:pPr>
              <w:ind w:firstLine="0"/>
              <w:jc w:val="center"/>
              <w:rPr>
                <w:iCs/>
              </w:rPr>
            </w:pPr>
            <w:r>
              <w:rPr>
                <w:iCs/>
              </w:rPr>
              <w:t>0</w:t>
            </w:r>
          </w:p>
        </w:tc>
      </w:tr>
      <w:tr w:rsidR="000D1C2D" w14:paraId="04F9D240" w14:textId="77777777" w:rsidTr="005554B4">
        <w:tblPrEx>
          <w:tblCellMar>
            <w:top w:w="0" w:type="dxa"/>
            <w:bottom w:w="0" w:type="dxa"/>
          </w:tblCellMar>
        </w:tblPrEx>
        <w:trPr>
          <w:trHeight w:val="158"/>
        </w:trPr>
        <w:tc>
          <w:tcPr>
            <w:tcW w:w="725" w:type="dxa"/>
          </w:tcPr>
          <w:p w14:paraId="4F5B8493" w14:textId="77777777" w:rsidR="000D1C2D" w:rsidRPr="003E2086" w:rsidRDefault="000D1C2D" w:rsidP="005554B4">
            <w:pPr>
              <w:ind w:firstLine="0"/>
              <w:jc w:val="center"/>
              <w:rPr>
                <w:iCs/>
              </w:rPr>
            </w:pPr>
            <w:r>
              <w:rPr>
                <w:iCs/>
              </w:rPr>
              <w:t>30</w:t>
            </w:r>
          </w:p>
        </w:tc>
      </w:tr>
      <w:tr w:rsidR="000D1C2D" w14:paraId="44AD34ED" w14:textId="77777777" w:rsidTr="005554B4">
        <w:tblPrEx>
          <w:tblCellMar>
            <w:top w:w="0" w:type="dxa"/>
            <w:bottom w:w="0" w:type="dxa"/>
          </w:tblCellMar>
        </w:tblPrEx>
        <w:trPr>
          <w:trHeight w:val="209"/>
        </w:trPr>
        <w:tc>
          <w:tcPr>
            <w:tcW w:w="725" w:type="dxa"/>
          </w:tcPr>
          <w:p w14:paraId="7F03825D" w14:textId="77777777" w:rsidR="000D1C2D" w:rsidRPr="003E2086" w:rsidRDefault="000D1C2D" w:rsidP="005554B4">
            <w:pPr>
              <w:ind w:firstLine="0"/>
              <w:jc w:val="center"/>
              <w:rPr>
                <w:iCs/>
              </w:rPr>
            </w:pPr>
            <w:r>
              <w:rPr>
                <w:iCs/>
              </w:rPr>
              <w:t>30</w:t>
            </w:r>
          </w:p>
        </w:tc>
      </w:tr>
      <w:tr w:rsidR="000D1C2D" w14:paraId="42B8916D" w14:textId="77777777" w:rsidTr="005554B4">
        <w:tblPrEx>
          <w:tblCellMar>
            <w:top w:w="0" w:type="dxa"/>
            <w:bottom w:w="0" w:type="dxa"/>
          </w:tblCellMar>
        </w:tblPrEx>
        <w:trPr>
          <w:trHeight w:val="260"/>
        </w:trPr>
        <w:tc>
          <w:tcPr>
            <w:tcW w:w="725" w:type="dxa"/>
          </w:tcPr>
          <w:p w14:paraId="43D44DC7" w14:textId="77777777" w:rsidR="000D1C2D" w:rsidRPr="003E2086" w:rsidRDefault="000D1C2D" w:rsidP="005554B4">
            <w:pPr>
              <w:ind w:firstLine="0"/>
              <w:jc w:val="center"/>
              <w:rPr>
                <w:iCs/>
              </w:rPr>
            </w:pPr>
            <w:r>
              <w:rPr>
                <w:iCs/>
              </w:rPr>
              <w:t>5</w:t>
            </w:r>
          </w:p>
        </w:tc>
      </w:tr>
      <w:tr w:rsidR="000D1C2D" w14:paraId="1EBF8554" w14:textId="77777777" w:rsidTr="005554B4">
        <w:tblPrEx>
          <w:tblCellMar>
            <w:top w:w="0" w:type="dxa"/>
            <w:bottom w:w="0" w:type="dxa"/>
          </w:tblCellMar>
        </w:tblPrEx>
        <w:trPr>
          <w:trHeight w:val="183"/>
        </w:trPr>
        <w:tc>
          <w:tcPr>
            <w:tcW w:w="725" w:type="dxa"/>
          </w:tcPr>
          <w:p w14:paraId="3DAFDD09" w14:textId="77777777" w:rsidR="000D1C2D" w:rsidRPr="003E2086" w:rsidRDefault="000D1C2D" w:rsidP="005554B4">
            <w:pPr>
              <w:ind w:firstLine="0"/>
              <w:jc w:val="center"/>
              <w:rPr>
                <w:iCs/>
              </w:rPr>
            </w:pPr>
            <w:r>
              <w:rPr>
                <w:iCs/>
              </w:rPr>
              <w:t>5</w:t>
            </w:r>
          </w:p>
        </w:tc>
      </w:tr>
      <w:tr w:rsidR="000D1C2D" w14:paraId="79868B68" w14:textId="77777777" w:rsidTr="005554B4">
        <w:tblPrEx>
          <w:tblCellMar>
            <w:top w:w="0" w:type="dxa"/>
            <w:bottom w:w="0" w:type="dxa"/>
          </w:tblCellMar>
        </w:tblPrEx>
        <w:trPr>
          <w:trHeight w:val="195"/>
        </w:trPr>
        <w:tc>
          <w:tcPr>
            <w:tcW w:w="725" w:type="dxa"/>
          </w:tcPr>
          <w:p w14:paraId="346A9FF0" w14:textId="77777777" w:rsidR="000D1C2D" w:rsidRPr="003E2086" w:rsidRDefault="000D1C2D" w:rsidP="005554B4">
            <w:pPr>
              <w:ind w:firstLine="0"/>
              <w:jc w:val="center"/>
              <w:rPr>
                <w:iCs/>
              </w:rPr>
            </w:pPr>
            <w:r>
              <w:rPr>
                <w:iCs/>
              </w:rPr>
              <w:t>3</w:t>
            </w:r>
          </w:p>
        </w:tc>
      </w:tr>
      <w:tr w:rsidR="000D1C2D" w14:paraId="265F6005" w14:textId="77777777" w:rsidTr="005554B4">
        <w:tblPrEx>
          <w:tblCellMar>
            <w:top w:w="0" w:type="dxa"/>
            <w:bottom w:w="0" w:type="dxa"/>
          </w:tblCellMar>
        </w:tblPrEx>
        <w:trPr>
          <w:trHeight w:val="215"/>
        </w:trPr>
        <w:tc>
          <w:tcPr>
            <w:tcW w:w="725" w:type="dxa"/>
          </w:tcPr>
          <w:p w14:paraId="399F1117" w14:textId="77777777" w:rsidR="000D1C2D" w:rsidRPr="003E2086" w:rsidRDefault="000D1C2D" w:rsidP="005554B4">
            <w:pPr>
              <w:ind w:firstLine="0"/>
              <w:jc w:val="center"/>
              <w:rPr>
                <w:iCs/>
              </w:rPr>
            </w:pPr>
            <w:r>
              <w:rPr>
                <w:iCs/>
              </w:rPr>
              <w:t>0</w:t>
            </w:r>
          </w:p>
        </w:tc>
      </w:tr>
      <w:tr w:rsidR="000D1C2D" w14:paraId="1D27A3DF" w14:textId="77777777" w:rsidTr="005554B4">
        <w:tblPrEx>
          <w:tblCellMar>
            <w:top w:w="0" w:type="dxa"/>
            <w:bottom w:w="0" w:type="dxa"/>
          </w:tblCellMar>
        </w:tblPrEx>
        <w:trPr>
          <w:trHeight w:val="427"/>
        </w:trPr>
        <w:tc>
          <w:tcPr>
            <w:tcW w:w="725" w:type="dxa"/>
          </w:tcPr>
          <w:p w14:paraId="33F3704A" w14:textId="77777777" w:rsidR="000D1C2D" w:rsidRPr="003E2086" w:rsidRDefault="000D1C2D" w:rsidP="005554B4">
            <w:pPr>
              <w:ind w:firstLine="0"/>
              <w:jc w:val="center"/>
              <w:rPr>
                <w:iCs/>
              </w:rPr>
            </w:pPr>
            <w:r>
              <w:rPr>
                <w:iCs/>
              </w:rPr>
              <w:t>5</w:t>
            </w:r>
          </w:p>
        </w:tc>
      </w:tr>
    </w:tbl>
    <w:tbl>
      <w:tblPr>
        <w:tblpPr w:leftFromText="180" w:rightFromText="180" w:vertAnchor="text" w:horzAnchor="page" w:tblpX="7976" w:tblpY="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6"/>
      </w:tblGrid>
      <w:tr w:rsidR="000D1C2D" w14:paraId="1A2EB28A" w14:textId="77777777" w:rsidTr="005554B4">
        <w:tblPrEx>
          <w:tblCellMar>
            <w:top w:w="0" w:type="dxa"/>
            <w:bottom w:w="0" w:type="dxa"/>
          </w:tblCellMar>
        </w:tblPrEx>
        <w:trPr>
          <w:trHeight w:val="99"/>
        </w:trPr>
        <w:tc>
          <w:tcPr>
            <w:tcW w:w="616" w:type="dxa"/>
          </w:tcPr>
          <w:p w14:paraId="14C66573" w14:textId="77777777" w:rsidR="000D1C2D" w:rsidRPr="003E2086" w:rsidRDefault="000D1C2D" w:rsidP="005554B4">
            <w:pPr>
              <w:bidi/>
              <w:ind w:firstLine="0"/>
              <w:jc w:val="center"/>
            </w:pPr>
            <w:r w:rsidRPr="003E2086">
              <w:t>1</w:t>
            </w:r>
          </w:p>
        </w:tc>
      </w:tr>
      <w:tr w:rsidR="000D1C2D" w14:paraId="415C4A3B" w14:textId="77777777" w:rsidTr="005554B4">
        <w:tblPrEx>
          <w:tblCellMar>
            <w:top w:w="0" w:type="dxa"/>
            <w:bottom w:w="0" w:type="dxa"/>
          </w:tblCellMar>
        </w:tblPrEx>
        <w:trPr>
          <w:trHeight w:val="104"/>
        </w:trPr>
        <w:tc>
          <w:tcPr>
            <w:tcW w:w="616" w:type="dxa"/>
          </w:tcPr>
          <w:p w14:paraId="0C840FBC" w14:textId="77777777" w:rsidR="000D1C2D" w:rsidRPr="003E2086" w:rsidRDefault="000D1C2D" w:rsidP="005554B4">
            <w:pPr>
              <w:ind w:firstLine="0"/>
              <w:jc w:val="center"/>
            </w:pPr>
            <w:r w:rsidRPr="003E2086">
              <w:t>2</w:t>
            </w:r>
          </w:p>
        </w:tc>
      </w:tr>
      <w:tr w:rsidR="000D1C2D" w14:paraId="54CC90CC" w14:textId="77777777" w:rsidTr="005554B4">
        <w:tblPrEx>
          <w:tblCellMar>
            <w:top w:w="0" w:type="dxa"/>
            <w:bottom w:w="0" w:type="dxa"/>
          </w:tblCellMar>
        </w:tblPrEx>
        <w:trPr>
          <w:trHeight w:val="111"/>
        </w:trPr>
        <w:tc>
          <w:tcPr>
            <w:tcW w:w="616" w:type="dxa"/>
          </w:tcPr>
          <w:p w14:paraId="0C989659" w14:textId="77777777" w:rsidR="000D1C2D" w:rsidRPr="003E2086" w:rsidRDefault="000D1C2D" w:rsidP="005554B4">
            <w:pPr>
              <w:ind w:firstLine="0"/>
              <w:jc w:val="center"/>
            </w:pPr>
            <w:r w:rsidRPr="003E2086">
              <w:t>3</w:t>
            </w:r>
          </w:p>
        </w:tc>
      </w:tr>
      <w:tr w:rsidR="000D1C2D" w14:paraId="7A21A447" w14:textId="77777777" w:rsidTr="005554B4">
        <w:tblPrEx>
          <w:tblCellMar>
            <w:top w:w="0" w:type="dxa"/>
            <w:bottom w:w="0" w:type="dxa"/>
          </w:tblCellMar>
        </w:tblPrEx>
        <w:trPr>
          <w:trHeight w:val="155"/>
        </w:trPr>
        <w:tc>
          <w:tcPr>
            <w:tcW w:w="616" w:type="dxa"/>
          </w:tcPr>
          <w:p w14:paraId="46DBD25A" w14:textId="77777777" w:rsidR="000D1C2D" w:rsidRPr="003E2086" w:rsidRDefault="000D1C2D" w:rsidP="005554B4">
            <w:pPr>
              <w:ind w:firstLine="0"/>
              <w:jc w:val="center"/>
            </w:pPr>
            <w:r w:rsidRPr="003E2086">
              <w:t>4</w:t>
            </w:r>
          </w:p>
        </w:tc>
      </w:tr>
      <w:tr w:rsidR="000D1C2D" w14:paraId="0AB86BFA" w14:textId="77777777" w:rsidTr="005554B4">
        <w:tblPrEx>
          <w:tblCellMar>
            <w:top w:w="0" w:type="dxa"/>
            <w:bottom w:w="0" w:type="dxa"/>
          </w:tblCellMar>
        </w:tblPrEx>
        <w:trPr>
          <w:trHeight w:val="206"/>
        </w:trPr>
        <w:tc>
          <w:tcPr>
            <w:tcW w:w="616" w:type="dxa"/>
          </w:tcPr>
          <w:p w14:paraId="77A832F9" w14:textId="77777777" w:rsidR="000D1C2D" w:rsidRPr="003E2086" w:rsidRDefault="000D1C2D" w:rsidP="005554B4">
            <w:pPr>
              <w:ind w:firstLine="0"/>
              <w:jc w:val="center"/>
            </w:pPr>
            <w:r w:rsidRPr="003E2086">
              <w:t>5</w:t>
            </w:r>
          </w:p>
        </w:tc>
      </w:tr>
      <w:tr w:rsidR="000D1C2D" w14:paraId="566C6DDD" w14:textId="77777777" w:rsidTr="005554B4">
        <w:tblPrEx>
          <w:tblCellMar>
            <w:top w:w="0" w:type="dxa"/>
            <w:bottom w:w="0" w:type="dxa"/>
          </w:tblCellMar>
        </w:tblPrEx>
        <w:trPr>
          <w:trHeight w:val="256"/>
        </w:trPr>
        <w:tc>
          <w:tcPr>
            <w:tcW w:w="616" w:type="dxa"/>
          </w:tcPr>
          <w:p w14:paraId="6013107D" w14:textId="77777777" w:rsidR="000D1C2D" w:rsidRPr="003E2086" w:rsidRDefault="000D1C2D" w:rsidP="005554B4">
            <w:pPr>
              <w:ind w:firstLine="0"/>
              <w:jc w:val="center"/>
            </w:pPr>
            <w:r w:rsidRPr="003E2086">
              <w:t>6</w:t>
            </w:r>
          </w:p>
        </w:tc>
      </w:tr>
      <w:tr w:rsidR="000D1C2D" w14:paraId="0C11DD8E" w14:textId="77777777" w:rsidTr="005554B4">
        <w:tblPrEx>
          <w:tblCellMar>
            <w:top w:w="0" w:type="dxa"/>
            <w:bottom w:w="0" w:type="dxa"/>
          </w:tblCellMar>
        </w:tblPrEx>
        <w:trPr>
          <w:trHeight w:val="180"/>
        </w:trPr>
        <w:tc>
          <w:tcPr>
            <w:tcW w:w="616" w:type="dxa"/>
          </w:tcPr>
          <w:p w14:paraId="18BFAB0D" w14:textId="77777777" w:rsidR="000D1C2D" w:rsidRPr="003E2086" w:rsidRDefault="000D1C2D" w:rsidP="005554B4">
            <w:pPr>
              <w:ind w:firstLine="0"/>
              <w:jc w:val="center"/>
            </w:pPr>
            <w:r w:rsidRPr="003E2086">
              <w:t>7</w:t>
            </w:r>
          </w:p>
        </w:tc>
      </w:tr>
      <w:tr w:rsidR="000D1C2D" w14:paraId="0DD07763" w14:textId="77777777" w:rsidTr="005554B4">
        <w:tblPrEx>
          <w:tblCellMar>
            <w:top w:w="0" w:type="dxa"/>
            <w:bottom w:w="0" w:type="dxa"/>
          </w:tblCellMar>
        </w:tblPrEx>
        <w:trPr>
          <w:trHeight w:val="193"/>
        </w:trPr>
        <w:tc>
          <w:tcPr>
            <w:tcW w:w="616" w:type="dxa"/>
          </w:tcPr>
          <w:p w14:paraId="246D3D2C" w14:textId="77777777" w:rsidR="000D1C2D" w:rsidRPr="003E2086" w:rsidRDefault="000D1C2D" w:rsidP="005554B4">
            <w:pPr>
              <w:ind w:firstLine="0"/>
              <w:jc w:val="center"/>
            </w:pPr>
            <w:r w:rsidRPr="003E2086">
              <w:t>8</w:t>
            </w:r>
          </w:p>
        </w:tc>
      </w:tr>
      <w:tr w:rsidR="000D1C2D" w14:paraId="133F3D43" w14:textId="77777777" w:rsidTr="005554B4">
        <w:tblPrEx>
          <w:tblCellMar>
            <w:top w:w="0" w:type="dxa"/>
            <w:bottom w:w="0" w:type="dxa"/>
          </w:tblCellMar>
        </w:tblPrEx>
        <w:trPr>
          <w:trHeight w:val="212"/>
        </w:trPr>
        <w:tc>
          <w:tcPr>
            <w:tcW w:w="616" w:type="dxa"/>
          </w:tcPr>
          <w:p w14:paraId="1180BF80" w14:textId="77777777" w:rsidR="000D1C2D" w:rsidRPr="003E2086" w:rsidRDefault="000D1C2D" w:rsidP="005554B4">
            <w:pPr>
              <w:ind w:firstLine="0"/>
              <w:jc w:val="center"/>
            </w:pPr>
            <w:r w:rsidRPr="003E2086">
              <w:t>9</w:t>
            </w:r>
          </w:p>
        </w:tc>
      </w:tr>
      <w:tr w:rsidR="000D1C2D" w14:paraId="229FAC6D" w14:textId="77777777" w:rsidTr="005554B4">
        <w:tblPrEx>
          <w:tblCellMar>
            <w:top w:w="0" w:type="dxa"/>
            <w:bottom w:w="0" w:type="dxa"/>
          </w:tblCellMar>
        </w:tblPrEx>
        <w:trPr>
          <w:trHeight w:val="421"/>
        </w:trPr>
        <w:tc>
          <w:tcPr>
            <w:tcW w:w="616" w:type="dxa"/>
          </w:tcPr>
          <w:p w14:paraId="7C1DE9CF" w14:textId="77777777" w:rsidR="000D1C2D" w:rsidRPr="003E2086" w:rsidRDefault="000D1C2D" w:rsidP="005554B4">
            <w:pPr>
              <w:ind w:firstLine="0"/>
              <w:jc w:val="center"/>
            </w:pPr>
            <w:r w:rsidRPr="003E2086">
              <w:t>10</w:t>
            </w:r>
          </w:p>
        </w:tc>
      </w:tr>
    </w:tbl>
    <w:tbl>
      <w:tblPr>
        <w:tblpPr w:leftFromText="180" w:rightFromText="180" w:vertAnchor="text" w:horzAnchor="page" w:tblpX="8557"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2D4B4D89" w14:textId="77777777" w:rsidTr="005554B4">
        <w:tblPrEx>
          <w:tblCellMar>
            <w:top w:w="0" w:type="dxa"/>
            <w:bottom w:w="0" w:type="dxa"/>
          </w:tblCellMar>
        </w:tblPrEx>
        <w:trPr>
          <w:trHeight w:val="101"/>
        </w:trPr>
        <w:tc>
          <w:tcPr>
            <w:tcW w:w="725" w:type="dxa"/>
          </w:tcPr>
          <w:p w14:paraId="62A69FBF" w14:textId="77777777" w:rsidR="000D1C2D" w:rsidRPr="003E2086" w:rsidRDefault="000D1C2D" w:rsidP="005554B4">
            <w:pPr>
              <w:bidi/>
              <w:ind w:firstLine="0"/>
              <w:jc w:val="center"/>
              <w:rPr>
                <w:iCs/>
              </w:rPr>
            </w:pPr>
            <w:r>
              <w:rPr>
                <w:iCs/>
              </w:rPr>
              <w:t>0</w:t>
            </w:r>
          </w:p>
        </w:tc>
      </w:tr>
      <w:tr w:rsidR="000D1C2D" w14:paraId="042D3529" w14:textId="77777777" w:rsidTr="005554B4">
        <w:tblPrEx>
          <w:tblCellMar>
            <w:top w:w="0" w:type="dxa"/>
            <w:bottom w:w="0" w:type="dxa"/>
          </w:tblCellMar>
        </w:tblPrEx>
        <w:trPr>
          <w:trHeight w:val="106"/>
        </w:trPr>
        <w:tc>
          <w:tcPr>
            <w:tcW w:w="725" w:type="dxa"/>
          </w:tcPr>
          <w:p w14:paraId="3CEA50DE" w14:textId="6257778E" w:rsidR="000D1C2D" w:rsidRPr="003E2086" w:rsidRDefault="00FB338C" w:rsidP="005554B4">
            <w:pPr>
              <w:ind w:firstLine="0"/>
              <w:jc w:val="center"/>
              <w:rPr>
                <w:iCs/>
              </w:rPr>
            </w:pPr>
            <w:r>
              <w:rPr>
                <w:iCs/>
              </w:rPr>
              <w:t>0</w:t>
            </w:r>
          </w:p>
        </w:tc>
      </w:tr>
      <w:tr w:rsidR="000D1C2D" w14:paraId="6F5E2649" w14:textId="77777777" w:rsidTr="005554B4">
        <w:tblPrEx>
          <w:tblCellMar>
            <w:top w:w="0" w:type="dxa"/>
            <w:bottom w:w="0" w:type="dxa"/>
          </w:tblCellMar>
        </w:tblPrEx>
        <w:trPr>
          <w:trHeight w:val="113"/>
        </w:trPr>
        <w:tc>
          <w:tcPr>
            <w:tcW w:w="725" w:type="dxa"/>
          </w:tcPr>
          <w:p w14:paraId="555D1792" w14:textId="2F2D9264" w:rsidR="000D1C2D" w:rsidRPr="003E2086" w:rsidRDefault="003D365A" w:rsidP="005554B4">
            <w:pPr>
              <w:ind w:firstLine="0"/>
              <w:jc w:val="center"/>
              <w:rPr>
                <w:iCs/>
              </w:rPr>
            </w:pPr>
            <w:r>
              <w:rPr>
                <w:iCs/>
              </w:rPr>
              <w:t>0</w:t>
            </w:r>
          </w:p>
        </w:tc>
      </w:tr>
      <w:tr w:rsidR="000D1C2D" w14:paraId="4AF66DAA" w14:textId="77777777" w:rsidTr="005554B4">
        <w:tblPrEx>
          <w:tblCellMar>
            <w:top w:w="0" w:type="dxa"/>
            <w:bottom w:w="0" w:type="dxa"/>
          </w:tblCellMar>
        </w:tblPrEx>
        <w:trPr>
          <w:trHeight w:val="158"/>
        </w:trPr>
        <w:tc>
          <w:tcPr>
            <w:tcW w:w="725" w:type="dxa"/>
          </w:tcPr>
          <w:p w14:paraId="09EFAE17" w14:textId="77777777" w:rsidR="000D1C2D" w:rsidRPr="003E2086" w:rsidRDefault="000D1C2D" w:rsidP="005554B4">
            <w:pPr>
              <w:ind w:firstLine="0"/>
              <w:jc w:val="center"/>
              <w:rPr>
                <w:iCs/>
              </w:rPr>
            </w:pPr>
            <w:r>
              <w:rPr>
                <w:iCs/>
              </w:rPr>
              <w:t>50</w:t>
            </w:r>
          </w:p>
        </w:tc>
      </w:tr>
      <w:tr w:rsidR="000D1C2D" w14:paraId="45705A17" w14:textId="77777777" w:rsidTr="005554B4">
        <w:tblPrEx>
          <w:tblCellMar>
            <w:top w:w="0" w:type="dxa"/>
            <w:bottom w:w="0" w:type="dxa"/>
          </w:tblCellMar>
        </w:tblPrEx>
        <w:trPr>
          <w:trHeight w:val="209"/>
        </w:trPr>
        <w:tc>
          <w:tcPr>
            <w:tcW w:w="725" w:type="dxa"/>
          </w:tcPr>
          <w:p w14:paraId="6AD9ED45" w14:textId="77777777" w:rsidR="000D1C2D" w:rsidRPr="003E2086" w:rsidRDefault="000D1C2D" w:rsidP="005554B4">
            <w:pPr>
              <w:ind w:firstLine="0"/>
              <w:jc w:val="center"/>
              <w:rPr>
                <w:iCs/>
              </w:rPr>
            </w:pPr>
            <w:r>
              <w:rPr>
                <w:iCs/>
              </w:rPr>
              <w:t>80</w:t>
            </w:r>
          </w:p>
        </w:tc>
      </w:tr>
      <w:tr w:rsidR="000D1C2D" w14:paraId="79131448" w14:textId="77777777" w:rsidTr="005554B4">
        <w:tblPrEx>
          <w:tblCellMar>
            <w:top w:w="0" w:type="dxa"/>
            <w:bottom w:w="0" w:type="dxa"/>
          </w:tblCellMar>
        </w:tblPrEx>
        <w:trPr>
          <w:trHeight w:val="260"/>
        </w:trPr>
        <w:tc>
          <w:tcPr>
            <w:tcW w:w="725" w:type="dxa"/>
          </w:tcPr>
          <w:p w14:paraId="023CFF19" w14:textId="77777777" w:rsidR="000D1C2D" w:rsidRPr="003E2086" w:rsidRDefault="000D1C2D" w:rsidP="005554B4">
            <w:pPr>
              <w:ind w:firstLine="0"/>
              <w:jc w:val="center"/>
              <w:rPr>
                <w:iCs/>
              </w:rPr>
            </w:pPr>
            <w:r>
              <w:rPr>
                <w:iCs/>
              </w:rPr>
              <w:t>85</w:t>
            </w:r>
          </w:p>
        </w:tc>
      </w:tr>
      <w:tr w:rsidR="000D1C2D" w14:paraId="0ABF1C04" w14:textId="77777777" w:rsidTr="005554B4">
        <w:tblPrEx>
          <w:tblCellMar>
            <w:top w:w="0" w:type="dxa"/>
            <w:bottom w:w="0" w:type="dxa"/>
          </w:tblCellMar>
        </w:tblPrEx>
        <w:trPr>
          <w:trHeight w:val="183"/>
        </w:trPr>
        <w:tc>
          <w:tcPr>
            <w:tcW w:w="725" w:type="dxa"/>
          </w:tcPr>
          <w:p w14:paraId="6BFE02D2" w14:textId="77777777" w:rsidR="000D1C2D" w:rsidRPr="003E2086" w:rsidRDefault="000D1C2D" w:rsidP="005554B4">
            <w:pPr>
              <w:ind w:firstLine="0"/>
              <w:jc w:val="center"/>
              <w:rPr>
                <w:iCs/>
              </w:rPr>
            </w:pPr>
            <w:r>
              <w:rPr>
                <w:iCs/>
              </w:rPr>
              <w:t>90</w:t>
            </w:r>
          </w:p>
        </w:tc>
      </w:tr>
      <w:tr w:rsidR="000D1C2D" w14:paraId="55BB0079" w14:textId="77777777" w:rsidTr="005554B4">
        <w:tblPrEx>
          <w:tblCellMar>
            <w:top w:w="0" w:type="dxa"/>
            <w:bottom w:w="0" w:type="dxa"/>
          </w:tblCellMar>
        </w:tblPrEx>
        <w:trPr>
          <w:trHeight w:val="195"/>
        </w:trPr>
        <w:tc>
          <w:tcPr>
            <w:tcW w:w="725" w:type="dxa"/>
          </w:tcPr>
          <w:p w14:paraId="60A28451" w14:textId="77777777" w:rsidR="000D1C2D" w:rsidRPr="003E2086" w:rsidRDefault="000D1C2D" w:rsidP="005554B4">
            <w:pPr>
              <w:ind w:firstLine="0"/>
              <w:jc w:val="center"/>
              <w:rPr>
                <w:iCs/>
              </w:rPr>
            </w:pPr>
            <w:r>
              <w:rPr>
                <w:iCs/>
              </w:rPr>
              <w:t>93</w:t>
            </w:r>
          </w:p>
        </w:tc>
      </w:tr>
      <w:tr w:rsidR="000D1C2D" w14:paraId="714D2711" w14:textId="77777777" w:rsidTr="005554B4">
        <w:tblPrEx>
          <w:tblCellMar>
            <w:top w:w="0" w:type="dxa"/>
            <w:bottom w:w="0" w:type="dxa"/>
          </w:tblCellMar>
        </w:tblPrEx>
        <w:trPr>
          <w:trHeight w:val="215"/>
        </w:trPr>
        <w:tc>
          <w:tcPr>
            <w:tcW w:w="725" w:type="dxa"/>
          </w:tcPr>
          <w:p w14:paraId="020E1520" w14:textId="77777777" w:rsidR="000D1C2D" w:rsidRPr="003E2086" w:rsidRDefault="000D1C2D" w:rsidP="005554B4">
            <w:pPr>
              <w:ind w:firstLine="0"/>
              <w:jc w:val="center"/>
              <w:rPr>
                <w:iCs/>
              </w:rPr>
            </w:pPr>
            <w:r>
              <w:rPr>
                <w:iCs/>
              </w:rPr>
              <w:t>95</w:t>
            </w:r>
          </w:p>
        </w:tc>
      </w:tr>
      <w:tr w:rsidR="000D1C2D" w14:paraId="4110821F" w14:textId="77777777" w:rsidTr="005554B4">
        <w:tblPrEx>
          <w:tblCellMar>
            <w:top w:w="0" w:type="dxa"/>
            <w:bottom w:w="0" w:type="dxa"/>
          </w:tblCellMar>
        </w:tblPrEx>
        <w:trPr>
          <w:trHeight w:val="427"/>
        </w:trPr>
        <w:tc>
          <w:tcPr>
            <w:tcW w:w="725" w:type="dxa"/>
          </w:tcPr>
          <w:p w14:paraId="37E0AB18" w14:textId="77777777" w:rsidR="000D1C2D" w:rsidRPr="003E2086" w:rsidRDefault="000D1C2D" w:rsidP="005554B4">
            <w:pPr>
              <w:ind w:firstLine="0"/>
              <w:jc w:val="center"/>
              <w:rPr>
                <w:iCs/>
              </w:rPr>
            </w:pPr>
            <w:r>
              <w:rPr>
                <w:iCs/>
              </w:rPr>
              <w:t>100</w:t>
            </w:r>
          </w:p>
        </w:tc>
      </w:tr>
    </w:tbl>
    <w:p w14:paraId="315CC743" w14:textId="77777777" w:rsidR="000D1C2D" w:rsidRPr="003E2086" w:rsidRDefault="000D1C2D" w:rsidP="000D1C2D">
      <w:pPr>
        <w:rPr>
          <w:strike/>
        </w:rPr>
      </w:pPr>
      <w:r w:rsidRPr="003E2086">
        <w:rPr>
          <w:strike/>
        </w:rPr>
        <w:t>1</w:t>
      </w:r>
      <w:r w:rsidRPr="003E2086">
        <w:rPr>
          <w:rFonts w:cs="Arial"/>
          <w:strike/>
          <w:rtl/>
        </w:rPr>
        <w:t xml:space="preserve">- </w:t>
      </w:r>
      <w:r w:rsidRPr="003E2086">
        <w:rPr>
          <w:strike/>
        </w:rPr>
        <w:t>find a good name for the proposal</w:t>
      </w:r>
    </w:p>
    <w:p w14:paraId="4F5533AD" w14:textId="77777777" w:rsidR="000D1C2D" w:rsidRPr="00D01B92" w:rsidRDefault="000D1C2D" w:rsidP="000D1C2D">
      <w:pPr>
        <w:rPr>
          <w:strike/>
        </w:rPr>
      </w:pPr>
      <w:r w:rsidRPr="00D01B92">
        <w:rPr>
          <w:strike/>
        </w:rPr>
        <w:t>2</w:t>
      </w:r>
      <w:r w:rsidRPr="00D01B92">
        <w:rPr>
          <w:rFonts w:cs="Arial"/>
          <w:strike/>
          <w:rtl/>
        </w:rPr>
        <w:t xml:space="preserve">- </w:t>
      </w:r>
      <w:r w:rsidRPr="00D01B92">
        <w:rPr>
          <w:strike/>
        </w:rPr>
        <w:t>surf the internet to find about the literature of this subject</w:t>
      </w:r>
    </w:p>
    <w:p w14:paraId="12AC41A0" w14:textId="109B98D3" w:rsidR="000D1C2D" w:rsidRPr="0044644F" w:rsidRDefault="000D1C2D" w:rsidP="000D1C2D">
      <w:pPr>
        <w:rPr>
          <w:strike/>
        </w:rPr>
      </w:pPr>
      <w:r w:rsidRPr="0044644F">
        <w:rPr>
          <w:strike/>
        </w:rPr>
        <w:t>3</w:t>
      </w:r>
      <w:r w:rsidRPr="0044644F">
        <w:rPr>
          <w:rFonts w:cs="Arial"/>
          <w:strike/>
          <w:rtl/>
        </w:rPr>
        <w:t xml:space="preserve">- </w:t>
      </w:r>
      <w:r w:rsidR="00CC118B" w:rsidRPr="0044644F">
        <w:rPr>
          <w:strike/>
        </w:rPr>
        <w:t xml:space="preserve">finish the literature </w:t>
      </w:r>
    </w:p>
    <w:p w14:paraId="755E5F6E" w14:textId="77777777" w:rsidR="000D1C2D" w:rsidRDefault="000D1C2D" w:rsidP="000D1C2D">
      <w:r>
        <w:t>4</w:t>
      </w:r>
      <w:r>
        <w:rPr>
          <w:rFonts w:cs="Arial"/>
          <w:rtl/>
        </w:rPr>
        <w:t xml:space="preserve">- </w:t>
      </w:r>
      <w:r>
        <w:t>get the data to work with</w:t>
      </w:r>
    </w:p>
    <w:p w14:paraId="407FE3AA" w14:textId="77777777" w:rsidR="000D1C2D" w:rsidRDefault="000D1C2D" w:rsidP="000D1C2D">
      <w:r>
        <w:t>5</w:t>
      </w:r>
      <w:r>
        <w:rPr>
          <w:rFonts w:cs="Arial"/>
          <w:rtl/>
        </w:rPr>
        <w:t xml:space="preserve">- </w:t>
      </w:r>
      <w:r>
        <w:t>add the body of the project (which we will talk about later)</w:t>
      </w:r>
    </w:p>
    <w:p w14:paraId="054DCF65" w14:textId="77777777" w:rsidR="000D1C2D" w:rsidRDefault="000D1C2D" w:rsidP="000D1C2D">
      <w:r>
        <w:t>6</w:t>
      </w:r>
      <w:r>
        <w:rPr>
          <w:rFonts w:cs="Arial"/>
          <w:rtl/>
        </w:rPr>
        <w:t xml:space="preserve">- </w:t>
      </w:r>
      <w:r>
        <w:t>have the conclusion</w:t>
      </w:r>
    </w:p>
    <w:p w14:paraId="151A18FB" w14:textId="77777777" w:rsidR="000D1C2D" w:rsidRDefault="000D1C2D" w:rsidP="000D1C2D">
      <w:r>
        <w:t>7</w:t>
      </w:r>
      <w:r>
        <w:rPr>
          <w:rFonts w:cs="Arial"/>
          <w:rtl/>
        </w:rPr>
        <w:t xml:space="preserve">- </w:t>
      </w:r>
      <w:r>
        <w:t>write the introduction</w:t>
      </w:r>
    </w:p>
    <w:p w14:paraId="253D0D02" w14:textId="77777777" w:rsidR="000D1C2D" w:rsidRDefault="000D1C2D" w:rsidP="000D1C2D">
      <w:r>
        <w:t>8</w:t>
      </w:r>
      <w:r>
        <w:rPr>
          <w:rFonts w:cs="Arial"/>
          <w:rtl/>
        </w:rPr>
        <w:t xml:space="preserve">- </w:t>
      </w:r>
      <w:r>
        <w:t>write the abstract</w:t>
      </w:r>
    </w:p>
    <w:p w14:paraId="3228C591" w14:textId="77777777" w:rsidR="000D1C2D" w:rsidRDefault="000D1C2D" w:rsidP="000D1C2D">
      <w:r>
        <w:t>9</w:t>
      </w:r>
      <w:r>
        <w:rPr>
          <w:rFonts w:cs="Arial"/>
          <w:rtl/>
        </w:rPr>
        <w:t xml:space="preserve">- </w:t>
      </w:r>
      <w:r>
        <w:t>have the bibliography attached to the end of the file</w:t>
      </w:r>
    </w:p>
    <w:p w14:paraId="61301C39" w14:textId="77777777" w:rsidR="000D1C2D" w:rsidRDefault="000D1C2D" w:rsidP="000D1C2D">
      <w:r>
        <w:t>10- check for any errors within that</w:t>
      </w:r>
    </w:p>
    <w:p w14:paraId="0DB79AAA" w14:textId="77777777" w:rsidR="000D1C2D" w:rsidRDefault="000D1C2D" w:rsidP="000D1C2D">
      <w:pPr>
        <w:ind w:firstLine="0"/>
      </w:pPr>
    </w:p>
    <w:p w14:paraId="57B52B12" w14:textId="77777777" w:rsidR="000D1C2D" w:rsidRDefault="000D1C2D" w:rsidP="000D1C2D"/>
    <w:p w14:paraId="6736A12C" w14:textId="246C2280" w:rsidR="00526BDD" w:rsidRPr="00CD0E1A" w:rsidRDefault="000D1C2D" w:rsidP="00CD0E1A">
      <w:r>
        <w:br w:type="page"/>
      </w:r>
    </w:p>
    <w:p w14:paraId="3A9E8090" w14:textId="5D00AF99" w:rsidR="00CD0E1A" w:rsidRPr="00CD0E1A" w:rsidRDefault="00CD0E1A" w:rsidP="00CD0E1A">
      <w:pPr>
        <w:pStyle w:val="Title2"/>
        <w:ind w:left="0"/>
      </w:pPr>
      <w:bookmarkStart w:id="3" w:name="_Toc234763683"/>
      <w:r w:rsidRPr="00CD0E1A">
        <w:lastRenderedPageBreak/>
        <w:t>References</w:t>
      </w:r>
      <w:bookmarkEnd w:id="3"/>
    </w:p>
    <w:p w14:paraId="1E92BB78" w14:textId="77777777" w:rsidR="00CD0E1A" w:rsidRDefault="00CD0E1A" w:rsidP="00CD0E1A">
      <w:pPr>
        <w:ind w:left="480" w:firstLine="0"/>
        <w:rPr>
          <w:rFonts w:cs="Times New Roman"/>
          <w:color w:val="262626"/>
        </w:rPr>
      </w:pPr>
    </w:p>
    <w:sdt>
      <w:sdtPr>
        <w:rPr>
          <w:rFonts w:cs="Times New Roman"/>
          <w:color w:val="262626"/>
        </w:rPr>
        <w:tag w:val="MENDELEY_BIBLIOGRAPHY"/>
        <w:id w:val="-1932116897"/>
        <w:placeholder>
          <w:docPart w:val="DefaultPlaceholder_-1854013440"/>
        </w:placeholder>
      </w:sdtPr>
      <w:sdtContent>
        <w:p w14:paraId="1CD5EDD6" w14:textId="77777777" w:rsidR="00CD0E1A" w:rsidRPr="00CD0E1A" w:rsidRDefault="00CD0E1A" w:rsidP="00CD0E1A">
          <w:pPr>
            <w:autoSpaceDE w:val="0"/>
            <w:autoSpaceDN w:val="0"/>
            <w:spacing w:before="240" w:line="276" w:lineRule="auto"/>
            <w:ind w:left="480" w:hanging="480"/>
            <w:divId w:val="937325709"/>
            <w:rPr>
              <w:rFonts w:eastAsia="Times New Roman" w:cs="Times New Roman"/>
              <w:color w:val="262626"/>
              <w:kern w:val="0"/>
              <w14:ligatures w14:val="none"/>
            </w:rPr>
          </w:pPr>
          <w:r w:rsidRPr="00CD0E1A">
            <w:rPr>
              <w:rFonts w:eastAsia="Times New Roman" w:cs="Times New Roman"/>
              <w:color w:val="262626"/>
            </w:rPr>
            <w:t xml:space="preserve">Addicott, D. A. C. (n.d.). </w:t>
          </w:r>
          <w:r w:rsidRPr="00CD0E1A">
            <w:rPr>
              <w:rFonts w:eastAsia="Times New Roman" w:cs="Times New Roman"/>
              <w:i/>
              <w:iCs/>
              <w:color w:val="262626"/>
            </w:rPr>
            <w:t>The Rise and Fall of the Zaibatsu: Japan’s Industrial and Economic Modernization</w:t>
          </w:r>
          <w:r w:rsidRPr="00CD0E1A">
            <w:rPr>
              <w:rFonts w:eastAsia="Times New Roman" w:cs="Times New Roman"/>
              <w:color w:val="262626"/>
            </w:rPr>
            <w:t xml:space="preserve"> (Vol. 11). Retrieved https://digitalcommons.pepperdine.edu/globaltides/vol11/iss1/5</w:t>
          </w:r>
        </w:p>
        <w:p w14:paraId="5611D9B9" w14:textId="77777777" w:rsidR="00CD0E1A" w:rsidRPr="00CD0E1A" w:rsidRDefault="00CD0E1A" w:rsidP="00CD0E1A">
          <w:pPr>
            <w:autoSpaceDE w:val="0"/>
            <w:autoSpaceDN w:val="0"/>
            <w:spacing w:before="240" w:line="276" w:lineRule="auto"/>
            <w:ind w:left="480" w:hanging="480"/>
            <w:divId w:val="646130125"/>
            <w:rPr>
              <w:rFonts w:eastAsia="Times New Roman" w:cs="Times New Roman"/>
              <w:color w:val="262626"/>
            </w:rPr>
          </w:pPr>
          <w:r w:rsidRPr="00CD0E1A">
            <w:rPr>
              <w:rFonts w:eastAsia="Times New Roman" w:cs="Times New Roman"/>
              <w:color w:val="262626"/>
            </w:rPr>
            <w:t xml:space="preserve">Beckley, M., Horiuchi, Y., &amp; Miller, J. M. (2018). AMERICA’S ROLE IN THE MAKING OF JAPAN’S ECONOMIC MIRACLE. </w:t>
          </w:r>
          <w:r w:rsidRPr="00CD0E1A">
            <w:rPr>
              <w:rFonts w:eastAsia="Times New Roman" w:cs="Times New Roman"/>
              <w:i/>
              <w:iCs/>
              <w:color w:val="262626"/>
            </w:rPr>
            <w:t>Journal of East Asian Studies</w:t>
          </w:r>
          <w:r w:rsidRPr="00CD0E1A">
            <w:rPr>
              <w:rFonts w:eastAsia="Times New Roman" w:cs="Times New Roman"/>
              <w:color w:val="262626"/>
            </w:rPr>
            <w:t xml:space="preserve">, </w:t>
          </w:r>
          <w:r w:rsidRPr="00CD0E1A">
            <w:rPr>
              <w:rFonts w:eastAsia="Times New Roman" w:cs="Times New Roman"/>
              <w:i/>
              <w:iCs/>
              <w:color w:val="262626"/>
            </w:rPr>
            <w:t>18</w:t>
          </w:r>
          <w:r w:rsidRPr="00CD0E1A">
            <w:rPr>
              <w:rFonts w:eastAsia="Times New Roman" w:cs="Times New Roman"/>
              <w:color w:val="262626"/>
            </w:rPr>
            <w:t>(1), 1–21. https://doi.org/10.1017/jea.2017.24</w:t>
          </w:r>
        </w:p>
        <w:p w14:paraId="05DA63C7" w14:textId="77777777" w:rsidR="00CD0E1A" w:rsidRPr="00CD0E1A" w:rsidRDefault="00CD0E1A" w:rsidP="00CD0E1A">
          <w:pPr>
            <w:autoSpaceDE w:val="0"/>
            <w:autoSpaceDN w:val="0"/>
            <w:spacing w:before="240" w:line="276" w:lineRule="auto"/>
            <w:ind w:left="480" w:hanging="480"/>
            <w:divId w:val="1900705321"/>
            <w:rPr>
              <w:rFonts w:eastAsia="Times New Roman" w:cs="Times New Roman"/>
              <w:color w:val="262626"/>
            </w:rPr>
          </w:pPr>
          <w:r w:rsidRPr="00CD0E1A">
            <w:rPr>
              <w:rFonts w:eastAsia="Times New Roman" w:cs="Times New Roman"/>
              <w:color w:val="262626"/>
            </w:rPr>
            <w:t xml:space="preserve">Gooding, N. (2026). Japan’s Economic Miracle, Bretton Woods, Nixon, China’s Rise, WTO Entry, and the Transformation of Global Industrial Power. </w:t>
          </w:r>
          <w:r w:rsidRPr="00CD0E1A">
            <w:rPr>
              <w:rFonts w:eastAsia="Times New Roman" w:cs="Times New Roman"/>
              <w:i/>
              <w:iCs/>
              <w:color w:val="262626"/>
            </w:rPr>
            <w:t>SSRN</w:t>
          </w:r>
          <w:r w:rsidRPr="00CD0E1A">
            <w:rPr>
              <w:rFonts w:eastAsia="Times New Roman" w:cs="Times New Roman"/>
              <w:color w:val="262626"/>
            </w:rPr>
            <w:t>. https://doi.org/10.2139/ssrn.5888862</w:t>
          </w:r>
        </w:p>
        <w:p w14:paraId="26328D68" w14:textId="77777777" w:rsidR="00CD0E1A" w:rsidRPr="00CD0E1A" w:rsidRDefault="00CD0E1A" w:rsidP="00CD0E1A">
          <w:pPr>
            <w:autoSpaceDE w:val="0"/>
            <w:autoSpaceDN w:val="0"/>
            <w:spacing w:before="240" w:line="276" w:lineRule="auto"/>
            <w:ind w:left="480" w:hanging="480"/>
            <w:divId w:val="1226985988"/>
            <w:rPr>
              <w:rFonts w:eastAsia="Times New Roman" w:cs="Times New Roman"/>
              <w:color w:val="262626"/>
            </w:rPr>
          </w:pPr>
          <w:r w:rsidRPr="00CD0E1A">
            <w:rPr>
              <w:rFonts w:eastAsia="Times New Roman" w:cs="Times New Roman"/>
              <w:color w:val="262626"/>
            </w:rPr>
            <w:t xml:space="preserve">Grabowiecki, &amp; Jerzy. (2006). </w:t>
          </w:r>
          <w:r w:rsidRPr="00CD0E1A">
            <w:rPr>
              <w:rFonts w:eastAsia="Times New Roman" w:cs="Times New Roman"/>
              <w:i/>
              <w:iCs/>
              <w:color w:val="262626"/>
            </w:rPr>
            <w:t>Keiretsu Groups: Their Role in the Japanese Economy and a Reference Point (or Paradigm) for Other Countries</w:t>
          </w:r>
          <w:r w:rsidRPr="00CD0E1A">
            <w:rPr>
              <w:rFonts w:eastAsia="Times New Roman" w:cs="Times New Roman"/>
              <w:color w:val="262626"/>
            </w:rPr>
            <w:t>. 20–76.</w:t>
          </w:r>
        </w:p>
        <w:p w14:paraId="7C678686" w14:textId="77777777" w:rsidR="00CD0E1A" w:rsidRPr="00CD0E1A" w:rsidRDefault="00CD0E1A" w:rsidP="00CD0E1A">
          <w:pPr>
            <w:autoSpaceDE w:val="0"/>
            <w:autoSpaceDN w:val="0"/>
            <w:spacing w:before="240" w:line="276" w:lineRule="auto"/>
            <w:ind w:left="480" w:hanging="480"/>
            <w:divId w:val="1389379489"/>
            <w:rPr>
              <w:rFonts w:eastAsia="Times New Roman" w:cs="Times New Roman"/>
              <w:color w:val="262626"/>
            </w:rPr>
          </w:pPr>
          <w:r w:rsidRPr="00CD0E1A">
            <w:rPr>
              <w:rFonts w:eastAsia="Times New Roman" w:cs="Times New Roman"/>
              <w:color w:val="262626"/>
            </w:rPr>
            <w:t xml:space="preserve">Takada, M. (1999). </w:t>
          </w:r>
          <w:r w:rsidRPr="00CD0E1A">
            <w:rPr>
              <w:rFonts w:eastAsia="Times New Roman" w:cs="Times New Roman"/>
              <w:i/>
              <w:iCs/>
              <w:color w:val="262626"/>
            </w:rPr>
            <w:t>Japan’s Economic Miracle: Underlying Factors and Strategies for the Growth.</w:t>
          </w:r>
        </w:p>
        <w:p w14:paraId="2AA0C847" w14:textId="77777777" w:rsidR="00CD0E1A" w:rsidRPr="00CD0E1A" w:rsidRDefault="00CD0E1A" w:rsidP="00CD0E1A">
          <w:pPr>
            <w:autoSpaceDE w:val="0"/>
            <w:autoSpaceDN w:val="0"/>
            <w:spacing w:before="240" w:line="276" w:lineRule="auto"/>
            <w:ind w:left="480" w:hanging="480"/>
            <w:divId w:val="357586472"/>
            <w:rPr>
              <w:rFonts w:eastAsia="Times New Roman" w:cs="Times New Roman"/>
              <w:color w:val="262626"/>
            </w:rPr>
          </w:pPr>
          <w:r w:rsidRPr="00CD0E1A">
            <w:rPr>
              <w:rFonts w:eastAsia="Times New Roman" w:cs="Times New Roman"/>
              <w:color w:val="262626"/>
            </w:rPr>
            <w:t xml:space="preserve">Yoshioka, S., &amp; Kawasaki, H. (2016). </w:t>
          </w:r>
          <w:r w:rsidRPr="00CD0E1A">
            <w:rPr>
              <w:rFonts w:eastAsia="Times New Roman" w:cs="Times New Roman"/>
              <w:i/>
              <w:iCs/>
              <w:color w:val="262626"/>
            </w:rPr>
            <w:t>Japan’s High-Growth Postwar Period: The Role of Economic Plans</w:t>
          </w:r>
          <w:r w:rsidRPr="00CD0E1A">
            <w:rPr>
              <w:rFonts w:eastAsia="Times New Roman" w:cs="Times New Roman"/>
              <w:color w:val="262626"/>
            </w:rPr>
            <w:t>. https://form.cao.go.jp/esri/en_opinion-0002.html</w:t>
          </w:r>
        </w:p>
        <w:p w14:paraId="48BE658F" w14:textId="75302089" w:rsidR="00CD0E1A" w:rsidRPr="00A430CA" w:rsidRDefault="00CD0E1A" w:rsidP="00CD0E1A">
          <w:pPr>
            <w:ind w:left="480" w:firstLine="0"/>
          </w:pPr>
          <w:r w:rsidRPr="00CD0E1A">
            <w:rPr>
              <w:rFonts w:eastAsia="Times New Roman" w:cs="Times New Roman"/>
              <w:color w:val="262626"/>
            </w:rPr>
            <w:t> </w:t>
          </w:r>
        </w:p>
      </w:sdtContent>
    </w:sdt>
    <w:sectPr w:rsidR="00CD0E1A" w:rsidRPr="00A430CA" w:rsidSect="00526BDD">
      <w:footerReference w:type="default" r:id="rId8"/>
      <w:pgSz w:w="11906" w:h="16838" w:code="9"/>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628E1" w14:textId="77777777" w:rsidR="000E07B2" w:rsidRDefault="000E07B2" w:rsidP="000D1C2D">
      <w:pPr>
        <w:spacing w:after="0" w:line="240" w:lineRule="auto"/>
      </w:pPr>
      <w:r>
        <w:separator/>
      </w:r>
    </w:p>
  </w:endnote>
  <w:endnote w:type="continuationSeparator" w:id="0">
    <w:p w14:paraId="64DB9F69" w14:textId="77777777" w:rsidR="000E07B2" w:rsidRDefault="000E07B2" w:rsidP="000D1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6372305"/>
      <w:docPartObj>
        <w:docPartGallery w:val="Page Numbers (Bottom of Page)"/>
        <w:docPartUnique/>
      </w:docPartObj>
    </w:sdtPr>
    <w:sdtEndPr>
      <w:rPr>
        <w:rtl/>
      </w:rPr>
    </w:sdtEndPr>
    <w:sdtContent>
      <w:p w14:paraId="5DDE6EBA" w14:textId="564C06B1" w:rsidR="000D1C2D" w:rsidRDefault="000D1C2D" w:rsidP="000D1C2D">
        <w:pPr>
          <w:pStyle w:val="Footer"/>
          <w:ind w:firstLine="0"/>
        </w:pPr>
      </w:p>
      <w:p w14:paraId="438EC1C5" w14:textId="564C06B1" w:rsidR="000D1C2D" w:rsidRDefault="000D1C2D" w:rsidP="000D1C2D">
        <w:pPr>
          <w:pStyle w:val="Footer"/>
          <w:bidi/>
          <w:jc w:val="cen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A29FF" w14:textId="77777777" w:rsidR="000E07B2" w:rsidRDefault="000E07B2" w:rsidP="000D1C2D">
      <w:pPr>
        <w:spacing w:after="0" w:line="240" w:lineRule="auto"/>
      </w:pPr>
      <w:r>
        <w:separator/>
      </w:r>
    </w:p>
  </w:footnote>
  <w:footnote w:type="continuationSeparator" w:id="0">
    <w:p w14:paraId="0A0150F7" w14:textId="77777777" w:rsidR="000E07B2" w:rsidRDefault="000E07B2" w:rsidP="000D1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560A1"/>
    <w:multiLevelType w:val="hybridMultilevel"/>
    <w:tmpl w:val="A530BA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14694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AD"/>
    <w:rsid w:val="00095F5E"/>
    <w:rsid w:val="000D1C2D"/>
    <w:rsid w:val="000E07B2"/>
    <w:rsid w:val="00144F20"/>
    <w:rsid w:val="00180BF2"/>
    <w:rsid w:val="00186D08"/>
    <w:rsid w:val="001F0B72"/>
    <w:rsid w:val="001F182E"/>
    <w:rsid w:val="002B6FAD"/>
    <w:rsid w:val="003875D7"/>
    <w:rsid w:val="003A5E91"/>
    <w:rsid w:val="003D365A"/>
    <w:rsid w:val="003E2086"/>
    <w:rsid w:val="0044644F"/>
    <w:rsid w:val="00504FBB"/>
    <w:rsid w:val="00526BDD"/>
    <w:rsid w:val="005B46A6"/>
    <w:rsid w:val="005E2486"/>
    <w:rsid w:val="006D435B"/>
    <w:rsid w:val="006E06EC"/>
    <w:rsid w:val="00730705"/>
    <w:rsid w:val="007808DD"/>
    <w:rsid w:val="00815E64"/>
    <w:rsid w:val="008226EC"/>
    <w:rsid w:val="00A430CA"/>
    <w:rsid w:val="00A741AD"/>
    <w:rsid w:val="00AE0F3F"/>
    <w:rsid w:val="00B332A1"/>
    <w:rsid w:val="00B86DA1"/>
    <w:rsid w:val="00BB62C5"/>
    <w:rsid w:val="00BC168F"/>
    <w:rsid w:val="00BD0EC1"/>
    <w:rsid w:val="00C22A64"/>
    <w:rsid w:val="00C47210"/>
    <w:rsid w:val="00CC118B"/>
    <w:rsid w:val="00CD0E1A"/>
    <w:rsid w:val="00D01B92"/>
    <w:rsid w:val="00D25370"/>
    <w:rsid w:val="00D93ABB"/>
    <w:rsid w:val="00DA0E2C"/>
    <w:rsid w:val="00DD4BAE"/>
    <w:rsid w:val="00DF6FA8"/>
    <w:rsid w:val="00EE13EB"/>
    <w:rsid w:val="00FB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E441C9"/>
  <w15:chartTrackingRefBased/>
  <w15:docId w15:val="{3CEF3971-1C4A-4228-976B-61DF411C0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6FA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F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6F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6F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6F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6F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FA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FA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6FA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6F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6F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6F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6FAD"/>
    <w:rPr>
      <w:rFonts w:asciiTheme="minorHAnsi" w:eastAsiaTheme="majorEastAsia" w:hAnsiTheme="minorHAnsi" w:cstheme="majorBidi"/>
      <w:color w:val="272727" w:themeColor="text1" w:themeTint="D8"/>
    </w:rPr>
  </w:style>
  <w:style w:type="paragraph" w:styleId="Title">
    <w:name w:val="Title"/>
    <w:basedOn w:val="Heading1"/>
    <w:next w:val="Subtitle"/>
    <w:link w:val="TitleChar"/>
    <w:autoRedefine/>
    <w:uiPriority w:val="10"/>
    <w:qFormat/>
    <w:rsid w:val="007808DD"/>
    <w:pPr>
      <w:spacing w:line="240" w:lineRule="auto"/>
      <w:contextualSpacing/>
    </w:pPr>
    <w:rPr>
      <w:rFonts w:asciiTheme="majorBidi" w:hAnsiTheme="majorBidi"/>
      <w:color w:val="auto"/>
      <w:spacing w:val="-10"/>
      <w:kern w:val="28"/>
      <w:sz w:val="44"/>
      <w:szCs w:val="56"/>
    </w:rPr>
  </w:style>
  <w:style w:type="character" w:customStyle="1" w:styleId="TitleChar">
    <w:name w:val="Title Char"/>
    <w:basedOn w:val="DefaultParagraphFont"/>
    <w:link w:val="Title"/>
    <w:uiPriority w:val="10"/>
    <w:rsid w:val="007808DD"/>
    <w:rPr>
      <w:rFonts w:asciiTheme="majorBidi" w:eastAsiaTheme="majorEastAsia" w:hAnsiTheme="majorBidi" w:cstheme="majorBidi"/>
      <w:color w:val="auto"/>
      <w:spacing w:val="-10"/>
      <w:kern w:val="28"/>
      <w:sz w:val="44"/>
      <w:szCs w:val="56"/>
    </w:rPr>
  </w:style>
  <w:style w:type="paragraph" w:styleId="Subtitle">
    <w:name w:val="Subtitle"/>
    <w:basedOn w:val="Normal"/>
    <w:next w:val="Normal"/>
    <w:link w:val="SubtitleChar"/>
    <w:uiPriority w:val="11"/>
    <w:qFormat/>
    <w:rsid w:val="002B6FAD"/>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6FAD"/>
    <w:pPr>
      <w:spacing w:before="160"/>
      <w:jc w:val="center"/>
    </w:pPr>
    <w:rPr>
      <w:i/>
      <w:iCs/>
      <w:color w:val="404040" w:themeColor="text1" w:themeTint="BF"/>
    </w:rPr>
  </w:style>
  <w:style w:type="character" w:customStyle="1" w:styleId="QuoteChar">
    <w:name w:val="Quote Char"/>
    <w:basedOn w:val="DefaultParagraphFont"/>
    <w:link w:val="Quote"/>
    <w:uiPriority w:val="29"/>
    <w:rsid w:val="002B6FAD"/>
    <w:rPr>
      <w:i/>
      <w:iCs/>
      <w:color w:val="404040" w:themeColor="text1" w:themeTint="BF"/>
    </w:rPr>
  </w:style>
  <w:style w:type="paragraph" w:styleId="ListParagraph">
    <w:name w:val="List Paragraph"/>
    <w:basedOn w:val="Normal"/>
    <w:uiPriority w:val="34"/>
    <w:qFormat/>
    <w:rsid w:val="002B6FAD"/>
    <w:pPr>
      <w:ind w:left="720"/>
      <w:contextualSpacing/>
    </w:pPr>
  </w:style>
  <w:style w:type="character" w:styleId="IntenseEmphasis">
    <w:name w:val="Intense Emphasis"/>
    <w:basedOn w:val="DefaultParagraphFont"/>
    <w:uiPriority w:val="21"/>
    <w:qFormat/>
    <w:rsid w:val="002B6FAD"/>
    <w:rPr>
      <w:i/>
      <w:iCs/>
      <w:color w:val="0F4761" w:themeColor="accent1" w:themeShade="BF"/>
    </w:rPr>
  </w:style>
  <w:style w:type="paragraph" w:styleId="IntenseQuote">
    <w:name w:val="Intense Quote"/>
    <w:basedOn w:val="Normal"/>
    <w:next w:val="Normal"/>
    <w:link w:val="IntenseQuoteChar"/>
    <w:uiPriority w:val="30"/>
    <w:qFormat/>
    <w:rsid w:val="002B6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AD"/>
    <w:rPr>
      <w:i/>
      <w:iCs/>
      <w:color w:val="0F4761" w:themeColor="accent1" w:themeShade="BF"/>
    </w:rPr>
  </w:style>
  <w:style w:type="character" w:styleId="IntenseReference">
    <w:name w:val="Intense Reference"/>
    <w:basedOn w:val="DefaultParagraphFont"/>
    <w:uiPriority w:val="32"/>
    <w:qFormat/>
    <w:rsid w:val="002B6FAD"/>
    <w:rPr>
      <w:b/>
      <w:bCs/>
      <w:smallCaps/>
      <w:color w:val="0F4761" w:themeColor="accent1" w:themeShade="BF"/>
      <w:spacing w:val="5"/>
    </w:rPr>
  </w:style>
  <w:style w:type="paragraph" w:styleId="NoSpacing">
    <w:name w:val="No Spacing"/>
    <w:uiPriority w:val="1"/>
    <w:qFormat/>
    <w:rsid w:val="007808DD"/>
    <w:pPr>
      <w:spacing w:after="0" w:line="240" w:lineRule="auto"/>
    </w:pPr>
  </w:style>
  <w:style w:type="paragraph" w:customStyle="1" w:styleId="Title2">
    <w:name w:val="Title2"/>
    <w:basedOn w:val="Title"/>
    <w:next w:val="Normal"/>
    <w:link w:val="Title2Char"/>
    <w:autoRedefine/>
    <w:qFormat/>
    <w:rsid w:val="00DF6FA8"/>
    <w:pPr>
      <w:ind w:left="288" w:firstLine="0"/>
    </w:pPr>
    <w:rPr>
      <w:color w:val="000000" w:themeColor="text1"/>
      <w:sz w:val="36"/>
    </w:rPr>
  </w:style>
  <w:style w:type="character" w:customStyle="1" w:styleId="Title2Char">
    <w:name w:val="Title2 Char"/>
    <w:basedOn w:val="TitleChar"/>
    <w:link w:val="Title2"/>
    <w:rsid w:val="00DF6FA8"/>
    <w:rPr>
      <w:rFonts w:asciiTheme="majorBidi" w:eastAsiaTheme="majorEastAsia" w:hAnsiTheme="majorBidi" w:cstheme="majorBidi"/>
      <w:color w:val="000000" w:themeColor="text1"/>
      <w:spacing w:val="-10"/>
      <w:kern w:val="28"/>
      <w:sz w:val="36"/>
      <w:szCs w:val="56"/>
    </w:rPr>
  </w:style>
  <w:style w:type="character" w:styleId="Hyperlink">
    <w:name w:val="Hyperlink"/>
    <w:basedOn w:val="DefaultParagraphFont"/>
    <w:uiPriority w:val="99"/>
    <w:unhideWhenUsed/>
    <w:rsid w:val="00D01B92"/>
    <w:rPr>
      <w:color w:val="467886" w:themeColor="hyperlink"/>
      <w:u w:val="single"/>
    </w:rPr>
  </w:style>
  <w:style w:type="character" w:styleId="UnresolvedMention">
    <w:name w:val="Unresolved Mention"/>
    <w:basedOn w:val="DefaultParagraphFont"/>
    <w:uiPriority w:val="99"/>
    <w:semiHidden/>
    <w:unhideWhenUsed/>
    <w:rsid w:val="00D01B92"/>
    <w:rPr>
      <w:color w:val="605E5C"/>
      <w:shd w:val="clear" w:color="auto" w:fill="E1DFDD"/>
    </w:rPr>
  </w:style>
  <w:style w:type="character" w:styleId="FollowedHyperlink">
    <w:name w:val="FollowedHyperlink"/>
    <w:basedOn w:val="DefaultParagraphFont"/>
    <w:uiPriority w:val="99"/>
    <w:semiHidden/>
    <w:unhideWhenUsed/>
    <w:rsid w:val="00095F5E"/>
    <w:rPr>
      <w:color w:val="96607D" w:themeColor="followedHyperlink"/>
      <w:u w:val="single"/>
    </w:rPr>
  </w:style>
  <w:style w:type="paragraph" w:styleId="TOAHeading">
    <w:name w:val="toa heading"/>
    <w:basedOn w:val="Normal"/>
    <w:next w:val="Normal"/>
    <w:uiPriority w:val="99"/>
    <w:semiHidden/>
    <w:unhideWhenUsed/>
    <w:rsid w:val="00095F5E"/>
    <w:pPr>
      <w:spacing w:before="120"/>
    </w:pPr>
    <w:rPr>
      <w:rFonts w:asciiTheme="majorHAnsi" w:eastAsiaTheme="majorEastAsia" w:hAnsiTheme="majorHAnsi" w:cstheme="majorBidi"/>
      <w:b/>
      <w:bCs/>
      <w:sz w:val="24"/>
    </w:rPr>
  </w:style>
  <w:style w:type="character" w:styleId="PlaceholderText">
    <w:name w:val="Placeholder Text"/>
    <w:basedOn w:val="DefaultParagraphFont"/>
    <w:uiPriority w:val="99"/>
    <w:semiHidden/>
    <w:rsid w:val="00DF6FA8"/>
    <w:rPr>
      <w:color w:val="666666"/>
    </w:rPr>
  </w:style>
  <w:style w:type="paragraph" w:styleId="TOCHeading">
    <w:name w:val="TOC Heading"/>
    <w:basedOn w:val="Heading1"/>
    <w:next w:val="Normal"/>
    <w:uiPriority w:val="39"/>
    <w:unhideWhenUsed/>
    <w:qFormat/>
    <w:rsid w:val="00DF6FA8"/>
    <w:pPr>
      <w:spacing w:before="240" w:after="0" w:line="259" w:lineRule="auto"/>
      <w:ind w:firstLine="0"/>
      <w:outlineLvl w:val="9"/>
    </w:pPr>
    <w:rPr>
      <w:kern w:val="0"/>
      <w:sz w:val="32"/>
      <w:szCs w:val="32"/>
      <w14:ligatures w14:val="none"/>
    </w:rPr>
  </w:style>
  <w:style w:type="paragraph" w:styleId="TOC2">
    <w:name w:val="toc 2"/>
    <w:basedOn w:val="Normal"/>
    <w:next w:val="Normal"/>
    <w:autoRedefine/>
    <w:uiPriority w:val="39"/>
    <w:unhideWhenUsed/>
    <w:rsid w:val="00DF6FA8"/>
    <w:pPr>
      <w:spacing w:after="100" w:line="259" w:lineRule="auto"/>
      <w:ind w:left="220" w:firstLine="0"/>
    </w:pPr>
    <w:rPr>
      <w:rFonts w:asciiTheme="minorHAnsi" w:eastAsiaTheme="minorEastAsia" w:hAnsiTheme="minorHAnsi" w:cs="Times New Roman"/>
      <w:color w:val="auto"/>
      <w:kern w:val="0"/>
      <w:szCs w:val="22"/>
      <w14:ligatures w14:val="none"/>
    </w:rPr>
  </w:style>
  <w:style w:type="paragraph" w:styleId="TOC1">
    <w:name w:val="toc 1"/>
    <w:basedOn w:val="Normal"/>
    <w:next w:val="Normal"/>
    <w:autoRedefine/>
    <w:uiPriority w:val="39"/>
    <w:unhideWhenUsed/>
    <w:rsid w:val="00DF6FA8"/>
    <w:pPr>
      <w:spacing w:after="100" w:line="259" w:lineRule="auto"/>
      <w:ind w:firstLine="0"/>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DF6FA8"/>
    <w:pPr>
      <w:spacing w:after="100" w:line="259" w:lineRule="auto"/>
      <w:ind w:left="440" w:firstLine="0"/>
    </w:pPr>
    <w:rPr>
      <w:rFonts w:asciiTheme="minorHAnsi" w:eastAsiaTheme="minorEastAsia" w:hAnsiTheme="minorHAnsi" w:cs="Times New Roman"/>
      <w:color w:val="auto"/>
      <w:kern w:val="0"/>
      <w:szCs w:val="22"/>
      <w14:ligatures w14:val="none"/>
    </w:rPr>
  </w:style>
  <w:style w:type="paragraph" w:styleId="Header">
    <w:name w:val="header"/>
    <w:basedOn w:val="Normal"/>
    <w:link w:val="HeaderChar"/>
    <w:uiPriority w:val="99"/>
    <w:unhideWhenUsed/>
    <w:rsid w:val="000D1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1C2D"/>
  </w:style>
  <w:style w:type="paragraph" w:styleId="Footer">
    <w:name w:val="footer"/>
    <w:basedOn w:val="Normal"/>
    <w:link w:val="FooterChar"/>
    <w:uiPriority w:val="99"/>
    <w:unhideWhenUsed/>
    <w:rsid w:val="000D1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1C2D"/>
  </w:style>
  <w:style w:type="paragraph" w:styleId="NormalWeb">
    <w:name w:val="Normal (Web)"/>
    <w:basedOn w:val="Normal"/>
    <w:uiPriority w:val="99"/>
    <w:semiHidden/>
    <w:unhideWhenUsed/>
    <w:rsid w:val="00815E64"/>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165">
      <w:bodyDiv w:val="1"/>
      <w:marLeft w:val="0"/>
      <w:marRight w:val="0"/>
      <w:marTop w:val="0"/>
      <w:marBottom w:val="0"/>
      <w:divBdr>
        <w:top w:val="none" w:sz="0" w:space="0" w:color="auto"/>
        <w:left w:val="none" w:sz="0" w:space="0" w:color="auto"/>
        <w:bottom w:val="none" w:sz="0" w:space="0" w:color="auto"/>
        <w:right w:val="none" w:sz="0" w:space="0" w:color="auto"/>
      </w:divBdr>
    </w:div>
    <w:div w:id="50538035">
      <w:bodyDiv w:val="1"/>
      <w:marLeft w:val="0"/>
      <w:marRight w:val="0"/>
      <w:marTop w:val="0"/>
      <w:marBottom w:val="0"/>
      <w:divBdr>
        <w:top w:val="none" w:sz="0" w:space="0" w:color="auto"/>
        <w:left w:val="none" w:sz="0" w:space="0" w:color="auto"/>
        <w:bottom w:val="none" w:sz="0" w:space="0" w:color="auto"/>
        <w:right w:val="none" w:sz="0" w:space="0" w:color="auto"/>
      </w:divBdr>
    </w:div>
    <w:div w:id="60252571">
      <w:bodyDiv w:val="1"/>
      <w:marLeft w:val="0"/>
      <w:marRight w:val="0"/>
      <w:marTop w:val="0"/>
      <w:marBottom w:val="0"/>
      <w:divBdr>
        <w:top w:val="none" w:sz="0" w:space="0" w:color="auto"/>
        <w:left w:val="none" w:sz="0" w:space="0" w:color="auto"/>
        <w:bottom w:val="none" w:sz="0" w:space="0" w:color="auto"/>
        <w:right w:val="none" w:sz="0" w:space="0" w:color="auto"/>
      </w:divBdr>
    </w:div>
    <w:div w:id="94251043">
      <w:bodyDiv w:val="1"/>
      <w:marLeft w:val="0"/>
      <w:marRight w:val="0"/>
      <w:marTop w:val="0"/>
      <w:marBottom w:val="0"/>
      <w:divBdr>
        <w:top w:val="none" w:sz="0" w:space="0" w:color="auto"/>
        <w:left w:val="none" w:sz="0" w:space="0" w:color="auto"/>
        <w:bottom w:val="none" w:sz="0" w:space="0" w:color="auto"/>
        <w:right w:val="none" w:sz="0" w:space="0" w:color="auto"/>
      </w:divBdr>
    </w:div>
    <w:div w:id="228805817">
      <w:bodyDiv w:val="1"/>
      <w:marLeft w:val="0"/>
      <w:marRight w:val="0"/>
      <w:marTop w:val="0"/>
      <w:marBottom w:val="0"/>
      <w:divBdr>
        <w:top w:val="none" w:sz="0" w:space="0" w:color="auto"/>
        <w:left w:val="none" w:sz="0" w:space="0" w:color="auto"/>
        <w:bottom w:val="none" w:sz="0" w:space="0" w:color="auto"/>
        <w:right w:val="none" w:sz="0" w:space="0" w:color="auto"/>
      </w:divBdr>
    </w:div>
    <w:div w:id="270624042">
      <w:bodyDiv w:val="1"/>
      <w:marLeft w:val="0"/>
      <w:marRight w:val="0"/>
      <w:marTop w:val="0"/>
      <w:marBottom w:val="0"/>
      <w:divBdr>
        <w:top w:val="none" w:sz="0" w:space="0" w:color="auto"/>
        <w:left w:val="none" w:sz="0" w:space="0" w:color="auto"/>
        <w:bottom w:val="none" w:sz="0" w:space="0" w:color="auto"/>
        <w:right w:val="none" w:sz="0" w:space="0" w:color="auto"/>
      </w:divBdr>
    </w:div>
    <w:div w:id="422117587">
      <w:bodyDiv w:val="1"/>
      <w:marLeft w:val="0"/>
      <w:marRight w:val="0"/>
      <w:marTop w:val="0"/>
      <w:marBottom w:val="0"/>
      <w:divBdr>
        <w:top w:val="none" w:sz="0" w:space="0" w:color="auto"/>
        <w:left w:val="none" w:sz="0" w:space="0" w:color="auto"/>
        <w:bottom w:val="none" w:sz="0" w:space="0" w:color="auto"/>
        <w:right w:val="none" w:sz="0" w:space="0" w:color="auto"/>
      </w:divBdr>
    </w:div>
    <w:div w:id="523247236">
      <w:bodyDiv w:val="1"/>
      <w:marLeft w:val="0"/>
      <w:marRight w:val="0"/>
      <w:marTop w:val="0"/>
      <w:marBottom w:val="0"/>
      <w:divBdr>
        <w:top w:val="none" w:sz="0" w:space="0" w:color="auto"/>
        <w:left w:val="none" w:sz="0" w:space="0" w:color="auto"/>
        <w:bottom w:val="none" w:sz="0" w:space="0" w:color="auto"/>
        <w:right w:val="none" w:sz="0" w:space="0" w:color="auto"/>
      </w:divBdr>
    </w:div>
    <w:div w:id="616252446">
      <w:bodyDiv w:val="1"/>
      <w:marLeft w:val="0"/>
      <w:marRight w:val="0"/>
      <w:marTop w:val="0"/>
      <w:marBottom w:val="0"/>
      <w:divBdr>
        <w:top w:val="none" w:sz="0" w:space="0" w:color="auto"/>
        <w:left w:val="none" w:sz="0" w:space="0" w:color="auto"/>
        <w:bottom w:val="none" w:sz="0" w:space="0" w:color="auto"/>
        <w:right w:val="none" w:sz="0" w:space="0" w:color="auto"/>
      </w:divBdr>
    </w:div>
    <w:div w:id="767503097">
      <w:bodyDiv w:val="1"/>
      <w:marLeft w:val="0"/>
      <w:marRight w:val="0"/>
      <w:marTop w:val="0"/>
      <w:marBottom w:val="0"/>
      <w:divBdr>
        <w:top w:val="none" w:sz="0" w:space="0" w:color="auto"/>
        <w:left w:val="none" w:sz="0" w:space="0" w:color="auto"/>
        <w:bottom w:val="none" w:sz="0" w:space="0" w:color="auto"/>
        <w:right w:val="none" w:sz="0" w:space="0" w:color="auto"/>
      </w:divBdr>
    </w:div>
    <w:div w:id="959453330">
      <w:bodyDiv w:val="1"/>
      <w:marLeft w:val="0"/>
      <w:marRight w:val="0"/>
      <w:marTop w:val="0"/>
      <w:marBottom w:val="0"/>
      <w:divBdr>
        <w:top w:val="none" w:sz="0" w:space="0" w:color="auto"/>
        <w:left w:val="none" w:sz="0" w:space="0" w:color="auto"/>
        <w:bottom w:val="none" w:sz="0" w:space="0" w:color="auto"/>
        <w:right w:val="none" w:sz="0" w:space="0" w:color="auto"/>
      </w:divBdr>
    </w:div>
    <w:div w:id="1166361630">
      <w:bodyDiv w:val="1"/>
      <w:marLeft w:val="0"/>
      <w:marRight w:val="0"/>
      <w:marTop w:val="0"/>
      <w:marBottom w:val="0"/>
      <w:divBdr>
        <w:top w:val="none" w:sz="0" w:space="0" w:color="auto"/>
        <w:left w:val="none" w:sz="0" w:space="0" w:color="auto"/>
        <w:bottom w:val="none" w:sz="0" w:space="0" w:color="auto"/>
        <w:right w:val="none" w:sz="0" w:space="0" w:color="auto"/>
      </w:divBdr>
    </w:div>
    <w:div w:id="1199589413">
      <w:bodyDiv w:val="1"/>
      <w:marLeft w:val="0"/>
      <w:marRight w:val="0"/>
      <w:marTop w:val="0"/>
      <w:marBottom w:val="0"/>
      <w:divBdr>
        <w:top w:val="none" w:sz="0" w:space="0" w:color="auto"/>
        <w:left w:val="none" w:sz="0" w:space="0" w:color="auto"/>
        <w:bottom w:val="none" w:sz="0" w:space="0" w:color="auto"/>
        <w:right w:val="none" w:sz="0" w:space="0" w:color="auto"/>
      </w:divBdr>
    </w:div>
    <w:div w:id="1219970611">
      <w:bodyDiv w:val="1"/>
      <w:marLeft w:val="0"/>
      <w:marRight w:val="0"/>
      <w:marTop w:val="0"/>
      <w:marBottom w:val="0"/>
      <w:divBdr>
        <w:top w:val="none" w:sz="0" w:space="0" w:color="auto"/>
        <w:left w:val="none" w:sz="0" w:space="0" w:color="auto"/>
        <w:bottom w:val="none" w:sz="0" w:space="0" w:color="auto"/>
        <w:right w:val="none" w:sz="0" w:space="0" w:color="auto"/>
      </w:divBdr>
    </w:div>
    <w:div w:id="1299456183">
      <w:bodyDiv w:val="1"/>
      <w:marLeft w:val="0"/>
      <w:marRight w:val="0"/>
      <w:marTop w:val="0"/>
      <w:marBottom w:val="0"/>
      <w:divBdr>
        <w:top w:val="none" w:sz="0" w:space="0" w:color="auto"/>
        <w:left w:val="none" w:sz="0" w:space="0" w:color="auto"/>
        <w:bottom w:val="none" w:sz="0" w:space="0" w:color="auto"/>
        <w:right w:val="none" w:sz="0" w:space="0" w:color="auto"/>
      </w:divBdr>
      <w:divsChild>
        <w:div w:id="780688420">
          <w:marLeft w:val="480"/>
          <w:marRight w:val="0"/>
          <w:marTop w:val="0"/>
          <w:marBottom w:val="0"/>
          <w:divBdr>
            <w:top w:val="none" w:sz="0" w:space="0" w:color="auto"/>
            <w:left w:val="none" w:sz="0" w:space="0" w:color="auto"/>
            <w:bottom w:val="none" w:sz="0" w:space="0" w:color="auto"/>
            <w:right w:val="none" w:sz="0" w:space="0" w:color="auto"/>
          </w:divBdr>
        </w:div>
        <w:div w:id="1658609971">
          <w:marLeft w:val="480"/>
          <w:marRight w:val="0"/>
          <w:marTop w:val="0"/>
          <w:marBottom w:val="0"/>
          <w:divBdr>
            <w:top w:val="none" w:sz="0" w:space="0" w:color="auto"/>
            <w:left w:val="none" w:sz="0" w:space="0" w:color="auto"/>
            <w:bottom w:val="none" w:sz="0" w:space="0" w:color="auto"/>
            <w:right w:val="none" w:sz="0" w:space="0" w:color="auto"/>
          </w:divBdr>
        </w:div>
        <w:div w:id="300618648">
          <w:marLeft w:val="480"/>
          <w:marRight w:val="0"/>
          <w:marTop w:val="0"/>
          <w:marBottom w:val="0"/>
          <w:divBdr>
            <w:top w:val="none" w:sz="0" w:space="0" w:color="auto"/>
            <w:left w:val="none" w:sz="0" w:space="0" w:color="auto"/>
            <w:bottom w:val="none" w:sz="0" w:space="0" w:color="auto"/>
            <w:right w:val="none" w:sz="0" w:space="0" w:color="auto"/>
          </w:divBdr>
        </w:div>
        <w:div w:id="1853061360">
          <w:marLeft w:val="480"/>
          <w:marRight w:val="0"/>
          <w:marTop w:val="0"/>
          <w:marBottom w:val="0"/>
          <w:divBdr>
            <w:top w:val="none" w:sz="0" w:space="0" w:color="auto"/>
            <w:left w:val="none" w:sz="0" w:space="0" w:color="auto"/>
            <w:bottom w:val="none" w:sz="0" w:space="0" w:color="auto"/>
            <w:right w:val="none" w:sz="0" w:space="0" w:color="auto"/>
          </w:divBdr>
        </w:div>
        <w:div w:id="1313675304">
          <w:marLeft w:val="480"/>
          <w:marRight w:val="0"/>
          <w:marTop w:val="0"/>
          <w:marBottom w:val="0"/>
          <w:divBdr>
            <w:top w:val="none" w:sz="0" w:space="0" w:color="auto"/>
            <w:left w:val="none" w:sz="0" w:space="0" w:color="auto"/>
            <w:bottom w:val="none" w:sz="0" w:space="0" w:color="auto"/>
            <w:right w:val="none" w:sz="0" w:space="0" w:color="auto"/>
          </w:divBdr>
        </w:div>
        <w:div w:id="969361733">
          <w:marLeft w:val="480"/>
          <w:marRight w:val="0"/>
          <w:marTop w:val="0"/>
          <w:marBottom w:val="0"/>
          <w:divBdr>
            <w:top w:val="none" w:sz="0" w:space="0" w:color="auto"/>
            <w:left w:val="none" w:sz="0" w:space="0" w:color="auto"/>
            <w:bottom w:val="none" w:sz="0" w:space="0" w:color="auto"/>
            <w:right w:val="none" w:sz="0" w:space="0" w:color="auto"/>
          </w:divBdr>
        </w:div>
      </w:divsChild>
    </w:div>
    <w:div w:id="1381592692">
      <w:bodyDiv w:val="1"/>
      <w:marLeft w:val="0"/>
      <w:marRight w:val="0"/>
      <w:marTop w:val="0"/>
      <w:marBottom w:val="0"/>
      <w:divBdr>
        <w:top w:val="none" w:sz="0" w:space="0" w:color="auto"/>
        <w:left w:val="none" w:sz="0" w:space="0" w:color="auto"/>
        <w:bottom w:val="none" w:sz="0" w:space="0" w:color="auto"/>
        <w:right w:val="none" w:sz="0" w:space="0" w:color="auto"/>
      </w:divBdr>
    </w:div>
    <w:div w:id="1477796116">
      <w:bodyDiv w:val="1"/>
      <w:marLeft w:val="0"/>
      <w:marRight w:val="0"/>
      <w:marTop w:val="0"/>
      <w:marBottom w:val="0"/>
      <w:divBdr>
        <w:top w:val="none" w:sz="0" w:space="0" w:color="auto"/>
        <w:left w:val="none" w:sz="0" w:space="0" w:color="auto"/>
        <w:bottom w:val="none" w:sz="0" w:space="0" w:color="auto"/>
        <w:right w:val="none" w:sz="0" w:space="0" w:color="auto"/>
      </w:divBdr>
    </w:div>
    <w:div w:id="1525098579">
      <w:bodyDiv w:val="1"/>
      <w:marLeft w:val="0"/>
      <w:marRight w:val="0"/>
      <w:marTop w:val="0"/>
      <w:marBottom w:val="0"/>
      <w:divBdr>
        <w:top w:val="none" w:sz="0" w:space="0" w:color="auto"/>
        <w:left w:val="none" w:sz="0" w:space="0" w:color="auto"/>
        <w:bottom w:val="none" w:sz="0" w:space="0" w:color="auto"/>
        <w:right w:val="none" w:sz="0" w:space="0" w:color="auto"/>
      </w:divBdr>
    </w:div>
    <w:div w:id="1635910273">
      <w:bodyDiv w:val="1"/>
      <w:marLeft w:val="0"/>
      <w:marRight w:val="0"/>
      <w:marTop w:val="0"/>
      <w:marBottom w:val="0"/>
      <w:divBdr>
        <w:top w:val="none" w:sz="0" w:space="0" w:color="auto"/>
        <w:left w:val="none" w:sz="0" w:space="0" w:color="auto"/>
        <w:bottom w:val="none" w:sz="0" w:space="0" w:color="auto"/>
        <w:right w:val="none" w:sz="0" w:space="0" w:color="auto"/>
      </w:divBdr>
    </w:div>
    <w:div w:id="1669819606">
      <w:bodyDiv w:val="1"/>
      <w:marLeft w:val="0"/>
      <w:marRight w:val="0"/>
      <w:marTop w:val="0"/>
      <w:marBottom w:val="0"/>
      <w:divBdr>
        <w:top w:val="none" w:sz="0" w:space="0" w:color="auto"/>
        <w:left w:val="none" w:sz="0" w:space="0" w:color="auto"/>
        <w:bottom w:val="none" w:sz="0" w:space="0" w:color="auto"/>
        <w:right w:val="none" w:sz="0" w:space="0" w:color="auto"/>
      </w:divBdr>
    </w:div>
    <w:div w:id="1691374923">
      <w:bodyDiv w:val="1"/>
      <w:marLeft w:val="0"/>
      <w:marRight w:val="0"/>
      <w:marTop w:val="0"/>
      <w:marBottom w:val="0"/>
      <w:divBdr>
        <w:top w:val="none" w:sz="0" w:space="0" w:color="auto"/>
        <w:left w:val="none" w:sz="0" w:space="0" w:color="auto"/>
        <w:bottom w:val="none" w:sz="0" w:space="0" w:color="auto"/>
        <w:right w:val="none" w:sz="0" w:space="0" w:color="auto"/>
      </w:divBdr>
    </w:div>
    <w:div w:id="1829589582">
      <w:bodyDiv w:val="1"/>
      <w:marLeft w:val="0"/>
      <w:marRight w:val="0"/>
      <w:marTop w:val="0"/>
      <w:marBottom w:val="0"/>
      <w:divBdr>
        <w:top w:val="none" w:sz="0" w:space="0" w:color="auto"/>
        <w:left w:val="none" w:sz="0" w:space="0" w:color="auto"/>
        <w:bottom w:val="none" w:sz="0" w:space="0" w:color="auto"/>
        <w:right w:val="none" w:sz="0" w:space="0" w:color="auto"/>
      </w:divBdr>
      <w:divsChild>
        <w:div w:id="937325709">
          <w:marLeft w:val="480"/>
          <w:marRight w:val="0"/>
          <w:marTop w:val="0"/>
          <w:marBottom w:val="0"/>
          <w:divBdr>
            <w:top w:val="none" w:sz="0" w:space="0" w:color="auto"/>
            <w:left w:val="none" w:sz="0" w:space="0" w:color="auto"/>
            <w:bottom w:val="none" w:sz="0" w:space="0" w:color="auto"/>
            <w:right w:val="none" w:sz="0" w:space="0" w:color="auto"/>
          </w:divBdr>
        </w:div>
        <w:div w:id="646130125">
          <w:marLeft w:val="480"/>
          <w:marRight w:val="0"/>
          <w:marTop w:val="0"/>
          <w:marBottom w:val="0"/>
          <w:divBdr>
            <w:top w:val="none" w:sz="0" w:space="0" w:color="auto"/>
            <w:left w:val="none" w:sz="0" w:space="0" w:color="auto"/>
            <w:bottom w:val="none" w:sz="0" w:space="0" w:color="auto"/>
            <w:right w:val="none" w:sz="0" w:space="0" w:color="auto"/>
          </w:divBdr>
        </w:div>
        <w:div w:id="1900705321">
          <w:marLeft w:val="480"/>
          <w:marRight w:val="0"/>
          <w:marTop w:val="0"/>
          <w:marBottom w:val="0"/>
          <w:divBdr>
            <w:top w:val="none" w:sz="0" w:space="0" w:color="auto"/>
            <w:left w:val="none" w:sz="0" w:space="0" w:color="auto"/>
            <w:bottom w:val="none" w:sz="0" w:space="0" w:color="auto"/>
            <w:right w:val="none" w:sz="0" w:space="0" w:color="auto"/>
          </w:divBdr>
        </w:div>
        <w:div w:id="1226985988">
          <w:marLeft w:val="480"/>
          <w:marRight w:val="0"/>
          <w:marTop w:val="0"/>
          <w:marBottom w:val="0"/>
          <w:divBdr>
            <w:top w:val="none" w:sz="0" w:space="0" w:color="auto"/>
            <w:left w:val="none" w:sz="0" w:space="0" w:color="auto"/>
            <w:bottom w:val="none" w:sz="0" w:space="0" w:color="auto"/>
            <w:right w:val="none" w:sz="0" w:space="0" w:color="auto"/>
          </w:divBdr>
        </w:div>
        <w:div w:id="1389379489">
          <w:marLeft w:val="480"/>
          <w:marRight w:val="0"/>
          <w:marTop w:val="0"/>
          <w:marBottom w:val="0"/>
          <w:divBdr>
            <w:top w:val="none" w:sz="0" w:space="0" w:color="auto"/>
            <w:left w:val="none" w:sz="0" w:space="0" w:color="auto"/>
            <w:bottom w:val="none" w:sz="0" w:space="0" w:color="auto"/>
            <w:right w:val="none" w:sz="0" w:space="0" w:color="auto"/>
          </w:divBdr>
        </w:div>
        <w:div w:id="357586472">
          <w:marLeft w:val="480"/>
          <w:marRight w:val="0"/>
          <w:marTop w:val="0"/>
          <w:marBottom w:val="0"/>
          <w:divBdr>
            <w:top w:val="none" w:sz="0" w:space="0" w:color="auto"/>
            <w:left w:val="none" w:sz="0" w:space="0" w:color="auto"/>
            <w:bottom w:val="none" w:sz="0" w:space="0" w:color="auto"/>
            <w:right w:val="none" w:sz="0" w:space="0" w:color="auto"/>
          </w:divBdr>
        </w:div>
      </w:divsChild>
    </w:div>
    <w:div w:id="1844123882">
      <w:bodyDiv w:val="1"/>
      <w:marLeft w:val="0"/>
      <w:marRight w:val="0"/>
      <w:marTop w:val="0"/>
      <w:marBottom w:val="0"/>
      <w:divBdr>
        <w:top w:val="none" w:sz="0" w:space="0" w:color="auto"/>
        <w:left w:val="none" w:sz="0" w:space="0" w:color="auto"/>
        <w:bottom w:val="none" w:sz="0" w:space="0" w:color="auto"/>
        <w:right w:val="none" w:sz="0" w:space="0" w:color="auto"/>
      </w:divBdr>
    </w:div>
    <w:div w:id="2084719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7B65686-76DC-43D8-ACAB-80AFE60F5E3B}"/>
      </w:docPartPr>
      <w:docPartBody>
        <w:p w:rsidR="00000000" w:rsidRDefault="003A7952">
          <w:r w:rsidRPr="00EB0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952"/>
    <w:rsid w:val="003A7952"/>
    <w:rsid w:val="005E2486"/>
    <w:rsid w:val="00A772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7952"/>
    <w:rPr>
      <w:color w:val="666666"/>
    </w:rPr>
  </w:style>
  <w:style w:type="paragraph" w:customStyle="1" w:styleId="D6757DF5E2B24217BB5E87CC3C320DDC">
    <w:name w:val="D6757DF5E2B24217BB5E87CC3C320DDC"/>
    <w:rsid w:val="003A7952"/>
  </w:style>
  <w:style w:type="paragraph" w:customStyle="1" w:styleId="30686641EF2440EA80A0B441FA678C2C">
    <w:name w:val="30686641EF2440EA80A0B441FA678C2C"/>
    <w:rsid w:val="003A7952"/>
  </w:style>
  <w:style w:type="paragraph" w:customStyle="1" w:styleId="DBD766353E6346379A8CF04060805A30">
    <w:name w:val="DBD766353E6346379A8CF04060805A30"/>
    <w:rsid w:val="003A79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D0AE96-0D54-4638-A1E0-A2AEEA2073D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847829193"/>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62D8892-C3CC-44D4-82F7-83728DE6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9</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18</cp:revision>
  <dcterms:created xsi:type="dcterms:W3CDTF">2026-07-05T13:18:00Z</dcterms:created>
  <dcterms:modified xsi:type="dcterms:W3CDTF">2026-07-12T12:18:00Z</dcterms:modified>
</cp:coreProperties>
</file>