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2304A"/>
          <w:sz w:val="54"/>
        </w:rPr>
        <w:t>KONE AI Sales Visualisation Platform</w:t>
      </w:r>
    </w:p>
    <w:p>
      <w:pPr>
        <w:jc w:val="center"/>
      </w:pPr>
      <w:r>
        <w:rPr>
          <w:color w:val="1F5A85"/>
          <w:sz w:val="42"/>
        </w:rPr>
        <w:t>Deployment &amp; Maintenance Guide</w:t>
      </w:r>
    </w:p>
    <w:p>
      <w:pPr>
        <w:spacing w:before="440"/>
        <w:jc w:val="center"/>
      </w:pPr>
      <w:r>
        <w:rPr>
          <w:color w:val="53606B"/>
          <w:sz w:val="22"/>
        </w:rPr>
        <w:t>Hosting, domain/SSL, secure credentials handoff, backups, redeployment, and known limitations</w:t>
      </w:r>
    </w:p>
    <w:p>
      <w:pPr>
        <w:spacing w:before="960"/>
        <w:jc w:val="center"/>
      </w:pPr>
      <w:r>
        <w:rPr>
          <w:color w:val="53606B"/>
          <w:sz w:val="20"/>
        </w:rPr>
        <w:t>Client handover  |  Version 1.0  |  19 September 2026</w:t>
      </w:r>
    </w:p>
    <w:p>
      <w:pPr>
        <w:spacing w:after="120"/>
      </w:pPr>
      <w:r>
        <w:t>Purpose: This guide describes how to host, operate, update and maintain the current KONE implementation. It does not contain passwords, private keys, access tokens or other credentials.</w:t>
      </w:r>
    </w:p>
    <w:p>
      <w:r>
        <w:br w:type="page"/>
      </w:r>
    </w:p>
    <w:p>
      <w:pPr>
        <w:pStyle w:val="Heading1"/>
        <w:keepNext/>
      </w:pPr>
      <w:r>
        <w:t>1. Deployment summary</w:t>
      </w:r>
    </w:p>
    <w:p>
      <w:pPr>
        <w:spacing w:after="120"/>
      </w:pPr>
      <w:r>
        <w:t>KONE is a multi-service application. The React frontend is built into static files, the Node/Express API manages authentication and workflow orchestration, MongoDB stores application state, and a GPU-enabled Python service performs image and video processing. FireRed and ComfyUI are optional private services used by the AI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4320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implementation</w:t>
            </w:r>
          </w:p>
        </w:tc>
        <w:tc>
          <w:tcPr>
            <w:tcW w:type="dxa" w:w="4320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Production recommendation</w:t>
            </w:r>
          </w:p>
        </w:tc>
      </w:tr>
      <w:tr>
        <w:tc>
          <w:tcPr>
            <w:tcW w:type="dxa" w:w="1728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Frontend</w:t>
            </w:r>
          </w:p>
        </w:tc>
        <w:tc>
          <w:tcPr>
            <w:tcW w:type="dxa" w:w="4320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Vite/React application; development launcher uses port 3000.</w:t>
            </w:r>
          </w:p>
        </w:tc>
        <w:tc>
          <w:tcPr>
            <w:tcW w:type="dxa" w:w="4320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Build with npm run build and serve dist/ through Nginx/CDN.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Application API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Node/Express API on port 4000.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Run with NODE_ENV=production behind a reverse proxy and process manager/container runtime.</w:t>
            </w:r>
          </w:p>
        </w:tc>
      </w:tr>
      <w:tr>
        <w:tc>
          <w:tcPr>
            <w:tcW w:type="dxa" w:w="1728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AI services</w:t>
            </w:r>
          </w:p>
        </w:tc>
        <w:tc>
          <w:tcPr>
            <w:tcW w:type="dxa" w:w="4320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FastAPI 8001, FireRed 8010, optional ComfyUI 8188.</w:t>
            </w:r>
          </w:p>
        </w:tc>
        <w:tc>
          <w:tcPr>
            <w:tcW w:type="dxa" w:w="4320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Use a private GPU worker or private network; expose none of these directly to the internet.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Database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MongoDB on port 27017.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Use managed MongoDB or a secured private MongoDB host with encrypted backups.</w:t>
            </w:r>
          </w:p>
        </w:tc>
      </w:tr>
      <w:tr>
        <w:tc>
          <w:tcPr>
            <w:tcW w:type="dxa" w:w="1728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Media</w:t>
            </w:r>
          </w:p>
        </w:tc>
        <w:tc>
          <w:tcPr>
            <w:tcW w:type="dxa" w:w="4320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Local output/storage/uploads paths, optional Azure Blob sync.</w:t>
            </w:r>
          </w:p>
        </w:tc>
        <w:tc>
          <w:tcPr>
            <w:tcW w:type="dxa" w:w="4320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Use durable object storage for production media and define retention rules.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Secrets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Environment variables read by the API/startup scripts.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Inject from a secrets manager/vault at runtime; do not place production values in Git or Word documents.</w:t>
            </w:r>
          </w:p>
        </w:tc>
      </w:tr>
    </w:tbl>
    <w:p/>
    <w:p>
      <w:pPr>
        <w:pStyle w:val="Heading1"/>
        <w:keepNext/>
      </w:pPr>
      <w:r>
        <w:t>2. Recommended hosting topology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785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topology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Only the HTTPS edge should be public. The API may proxy or call the private AI worker, while MongoDB, FireRed, ComfyUI and the Azure payload service remain on loopback or a private security group/network.</w:t>
      </w:r>
    </w:p>
    <w:p>
      <w:pPr>
        <w:pStyle w:val="Heading1"/>
        <w:keepNext/>
      </w:pPr>
      <w:r>
        <w:t>3. Hosting, server, domain and SSL handoff</w:t>
      </w:r>
    </w:p>
    <w:p>
      <w:pPr>
        <w:pStyle w:val="Heading2"/>
        <w:keepNext/>
      </w:pPr>
      <w:r>
        <w:t>3.1 Server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5112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Requirement / guidance</w:t>
            </w:r>
          </w:p>
        </w:tc>
        <w:tc>
          <w:tcPr>
            <w:tcW w:type="dxa" w:w="3240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Owner to confirm</w:t>
            </w:r>
          </w:p>
        </w:tc>
      </w:tr>
      <w:tr>
        <w:tc>
          <w:tcPr>
            <w:tcW w:type="dxa" w:w="2016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Application host</w:t>
            </w:r>
          </w:p>
        </w:tc>
        <w:tc>
          <w:tcPr>
            <w:tcW w:type="dxa" w:w="5112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Linux server; Node.js 20+; npm; reverse proxy; process manager.</w:t>
            </w:r>
          </w:p>
        </w:tc>
        <w:tc>
          <w:tcPr>
            <w:tcW w:type="dxa" w:w="3240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Hostname, OS image, CPU/RAM and disk allocation.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GPU worker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Linux host with NVIDIA GPU, compatible CUDA/PyTorch stack, Python 3.11–3.13 and FFmpeg.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GPU model, VRAM, driver/CUDA versions and storage for weights.</w:t>
            </w:r>
          </w:p>
        </w:tc>
      </w:tr>
      <w:tr>
        <w:tc>
          <w:tcPr>
            <w:tcW w:type="dxa" w:w="2016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Database</w:t>
            </w:r>
          </w:p>
        </w:tc>
        <w:tc>
          <w:tcPr>
            <w:tcW w:type="dxa" w:w="5112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Managed MongoDB preferred, or private MongoDB with authentication and encrypted storage.</w:t>
            </w:r>
          </w:p>
        </w:tc>
        <w:tc>
          <w:tcPr>
            <w:tcW w:type="dxa" w:w="3240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Provider/cluster, database name, network allowlist and backup policy.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Object storage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Azure Blob is supported optionally; local media directories exist in the current code.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Storage account/container, lifecycle and retention policy.</w:t>
            </w:r>
          </w:p>
        </w:tc>
      </w:tr>
      <w:tr>
        <w:tc>
          <w:tcPr>
            <w:tcW w:type="dxa" w:w="2016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Monitoring</w:t>
            </w:r>
          </w:p>
        </w:tc>
        <w:tc>
          <w:tcPr>
            <w:tcW w:type="dxa" w:w="5112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Central logs, uptime checks, disk/GPU alerts and error alerting.</w:t>
            </w:r>
          </w:p>
        </w:tc>
        <w:tc>
          <w:tcPr>
            <w:tcW w:type="dxa" w:w="3240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Monitoring provider, alert recipients and on-call owner.</w:t>
            </w:r>
          </w:p>
        </w:tc>
      </w:tr>
    </w:tbl>
    <w:p/>
    <w:p>
      <w:pPr>
        <w:spacing w:after="120"/>
      </w:pPr>
      <w:r>
        <w:t>The current local launcher assumes /root/Kone and starts development servers. For production, use deployment-specific paths and service definitions rather than copying its hardcoded paths or local JWT value.</w:t>
      </w:r>
    </w:p>
    <w:p>
      <w:pPr>
        <w:pStyle w:val="Heading2"/>
        <w:keepNext/>
      </w:pPr>
      <w:r>
        <w:t>3.2 Domain and DNS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DNS record</w:t>
            </w:r>
          </w:p>
        </w:tc>
        <w:tc>
          <w:tcPr>
            <w:tcW w:type="dxa" w:w="3816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Recommended target</w:t>
            </w:r>
          </w:p>
        </w:tc>
        <w:tc>
          <w:tcPr>
            <w:tcW w:type="dxa" w:w="4248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304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app.&lt;domain&gt;</w:t>
            </w:r>
          </w:p>
        </w:tc>
        <w:tc>
          <w:tcPr>
            <w:tcW w:type="dxa" w:w="3816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Edge proxy / load balancer</w:t>
            </w:r>
          </w:p>
        </w:tc>
        <w:tc>
          <w:tcPr>
            <w:tcW w:type="dxa" w:w="4248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Serves the React frontend over HTTPS.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api.&lt;domain&gt;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Same edge or private API ingress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Use this only if the frontend is configured with an absolute VITE_API_BASE_URL.</w:t>
            </w:r>
          </w:p>
        </w:tc>
      </w:tr>
      <w:tr>
        <w:tc>
          <w:tcPr>
            <w:tcW w:type="dxa" w:w="2304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internal GPU hostname</w:t>
            </w:r>
          </w:p>
        </w:tc>
        <w:tc>
          <w:tcPr>
            <w:tcW w:type="dxa" w:w="3816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Private IP / service discovery</w:t>
            </w:r>
          </w:p>
        </w:tc>
        <w:tc>
          <w:tcPr>
            <w:tcW w:type="dxa" w:w="4248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Not published in public DNS; used by Node API for LOGIC_URL.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MongoDB hostname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Managed/private database endpoint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Not publicly exposed; restrict inbound access to the API/worker network.</w:t>
            </w:r>
          </w:p>
        </w:tc>
      </w:tr>
    </w:tbl>
    <w:p/>
    <w:p>
      <w:pPr>
        <w:spacing w:after="120"/>
      </w:pPr>
      <w:r>
        <w:t>The simpler deployment is one public application domain with /api/v1 proxied to the Node API. This matches the local Vite proxy pattern and avoids cross-origin configuration complexity. If separate app and API domains are used, set VITE_API_BASE_URL to the HTTPS API URL and configure CORS explicitly.</w:t>
      </w:r>
    </w:p>
    <w:p>
      <w:pPr>
        <w:pStyle w:val="Heading2"/>
        <w:keepNext/>
      </w:pPr>
      <w:r>
        <w:t>3.3 SSL/TLS checklist</w:t>
      </w:r>
    </w:p>
    <w:p>
      <w:pPr>
        <w:pStyle w:val="ListBullet"/>
        <w:spacing w:after="40"/>
      </w:pPr>
      <w:r>
        <w:t>Issue the certificate at the reverse proxy, managed load balancer or CDN. The Node and Python services should normally listen on private HTTP ports only.</w:t>
      </w:r>
    </w:p>
    <w:p>
      <w:pPr>
        <w:pStyle w:val="ListBullet"/>
        <w:spacing w:after="40"/>
      </w:pPr>
      <w:r>
        <w:t>Redirect HTTP to HTTPS and verify that API, upload, download and video URLs remain HTTPS to prevent browser mixed-content failures.</w:t>
      </w:r>
    </w:p>
    <w:p>
      <w:pPr>
        <w:pStyle w:val="ListBullet"/>
        <w:spacing w:after="40"/>
      </w:pPr>
      <w:r>
        <w:t>Automate certificate renewal and test renewal before the first expiry window.</w:t>
      </w:r>
    </w:p>
    <w:p>
      <w:pPr>
        <w:pStyle w:val="ListBullet"/>
        <w:spacing w:after="40"/>
      </w:pPr>
      <w:r>
        <w:t>Use secure security headers at the edge and retain the application helmet middleware. Enable HSTS only after confirming every required subdomain is HTTPS-ready.</w:t>
      </w:r>
    </w:p>
    <w:p>
      <w:pPr>
        <w:pStyle w:val="ListBullet"/>
        <w:spacing w:after="40"/>
      </w:pPr>
      <w:r>
        <w:t>Document the certificate provider, renewal owner, DNS validation method and emergency contact in the internal operations record—not in this Word document.</w:t>
      </w:r>
    </w:p>
    <w:p>
      <w:pPr>
        <w:pStyle w:val="Heading1"/>
        <w:keepNext/>
      </w:pPr>
      <w:r>
        <w:t>4. Credentials handoff through a secure vault</w:t>
      </w:r>
    </w:p>
    <w:p>
      <w:pPr>
        <w:spacing w:after="120"/>
      </w:pPr>
      <w:r>
        <w:t>No credentials should be handed over through email, chat, source control, screenshots or this document. Create a vault entry for each secret, grant named users/groups least-privilege access, and share only the vault path or item name with the client.</w:t>
      </w:r>
    </w:p>
    <w:p>
      <w:pPr>
        <w:pStyle w:val="Heading2"/>
        <w:keepNext/>
      </w:pPr>
      <w:r>
        <w:t>4.1 Secret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96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Secret / configuration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Used by</w:t>
            </w:r>
          </w:p>
        </w:tc>
        <w:tc>
          <w:tcPr>
            <w:tcW w:type="dxa" w:w="4176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Vault handoff rule</w:t>
            </w:r>
          </w:p>
        </w:tc>
      </w:tr>
      <w:tr>
        <w:tc>
          <w:tcPr>
            <w:tcW w:type="dxa" w:w="3096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JWT_SECRET</w:t>
            </w:r>
          </w:p>
        </w:tc>
        <w:tc>
          <w:tcPr>
            <w:tcW w:type="dxa" w:w="3096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Node API token signing</w:t>
            </w:r>
          </w:p>
        </w:tc>
        <w:tc>
          <w:tcPr>
            <w:tcW w:type="dxa" w:w="4176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Generate a new long random production value; never reuse the local development value.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MONGODB_URL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Node API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Store the full connection string in the vault; use a dedicated application DB user.</w:t>
            </w:r>
          </w:p>
        </w:tc>
      </w:tr>
      <w:tr>
        <w:tc>
          <w:tcPr>
            <w:tcW w:type="dxa" w:w="3096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AZURE_STORAGE_CONNECTION_STRING</w:t>
            </w:r>
          </w:p>
        </w:tc>
        <w:tc>
          <w:tcPr>
            <w:tcW w:type="dxa" w:w="3096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Node API/Azure service</w:t>
            </w:r>
          </w:p>
        </w:tc>
        <w:tc>
          <w:tcPr>
            <w:tcW w:type="dxa" w:w="4176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Store as a secret; restrict storage account permissions and rotate on staff changes.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BROCHURE_INTEGRATION_API_KEY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Node API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Store separately from the integration URL; grant only the API runtime access.</w:t>
            </w:r>
          </w:p>
        </w:tc>
      </w:tr>
      <w:tr>
        <w:tc>
          <w:tcPr>
            <w:tcW w:type="dxa" w:w="3096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SMTP_USERNAME / SMTP_PASSWORD</w:t>
            </w:r>
          </w:p>
        </w:tc>
        <w:tc>
          <w:tcPr>
            <w:tcW w:type="dxa" w:w="3096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Node API email service</w:t>
            </w:r>
          </w:p>
        </w:tc>
        <w:tc>
          <w:tcPr>
            <w:tcW w:type="dxa" w:w="4176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Use a dedicated SMTP credential or provider token, not a personal mailbox password.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HF_TOKEN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Setup/maintenance only when restricted model downloads need it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Do not persist in application logs; revoke after model provisioning if no longer needed.</w:t>
            </w:r>
          </w:p>
        </w:tc>
      </w:tr>
      <w:tr>
        <w:tc>
          <w:tcPr>
            <w:tcW w:type="dxa" w:w="3096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SSH / cloud / DNS / certificate access</w:t>
            </w:r>
          </w:p>
        </w:tc>
        <w:tc>
          <w:tcPr>
            <w:tcW w:type="dxa" w:w="3096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Infrastructure administration</w:t>
            </w:r>
          </w:p>
        </w:tc>
        <w:tc>
          <w:tcPr>
            <w:tcW w:type="dxa" w:w="4176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Use named accounts, MFA and role-based access; do not share a common root password.</w:t>
            </w:r>
          </w:p>
        </w:tc>
      </w:tr>
    </w:tbl>
    <w:p/>
    <w:p>
      <w:pPr>
        <w:pStyle w:val="Heading2"/>
        <w:keepNext/>
      </w:pPr>
      <w:r>
        <w:t>4.2 Vault handoff procedure</w:t>
      </w:r>
    </w:p>
    <w:p>
      <w:pPr>
        <w:pStyle w:val="ListNumber"/>
        <w:spacing w:after="40"/>
      </w:pPr>
      <w:r>
        <w:t>Create a production vault/project with separate folders for infrastructure, application, database, storage and third-party integrations.</w:t>
      </w:r>
    </w:p>
    <w:p>
      <w:pPr>
        <w:pStyle w:val="ListNumber"/>
        <w:spacing w:after="40"/>
      </w:pPr>
      <w:r>
        <w:t>Add secrets using names matching the environment-variable names, plus a short description, owner, rotation interval and last-rotated date.</w:t>
      </w:r>
    </w:p>
    <w:p>
      <w:pPr>
        <w:pStyle w:val="ListNumber"/>
        <w:spacing w:after="40"/>
      </w:pPr>
      <w:r>
        <w:t>Grant access to named client administrators and the application deployment identity. Avoid shared personal credentials.</w:t>
      </w:r>
    </w:p>
    <w:p>
      <w:pPr>
        <w:pStyle w:val="ListNumber"/>
        <w:spacing w:after="40"/>
      </w:pPr>
      <w:r>
        <w:t>Inject secrets at deployment time through the process manager, container secret store or CI/CD secret variables.</w:t>
      </w:r>
    </w:p>
    <w:p>
      <w:pPr>
        <w:pStyle w:val="ListNumber"/>
        <w:spacing w:after="40"/>
      </w:pPr>
      <w:r>
        <w:t>Run a smoke test, confirm logs do not print secret values, then record the handoff date and revoke temporary setup credentials.</w:t>
      </w:r>
    </w:p>
    <w:p>
      <w:pPr>
        <w:spacing w:after="140"/>
        <w:ind w:left="360"/>
      </w:pPr>
      <w:r>
        <w:rPr>
          <w:rFonts w:ascii="Courier New" w:hAnsi="Courier New"/>
          <w:color w:val="334155"/>
          <w:sz w:val="16"/>
        </w:rPr>
        <w:t>Example vault reference (placeholder only):</w:t>
        <w:br/>
        <w:t>vault://kone/production/api/JWT_SECRET</w:t>
        <w:br/>
        <w:t>vault://kone/production/database/MONGODB_URL</w:t>
        <w:br/>
        <w:t>vault://kone/production/integrations/AZURE_STORAGE_CONNECTION_STRING</w:t>
      </w:r>
    </w:p>
    <w:p>
      <w:pPr>
        <w:pStyle w:val="Heading1"/>
        <w:keepNext/>
      </w:pPr>
      <w:r>
        <w:t>5. Initial production deployment</w:t>
      </w:r>
    </w:p>
    <w:p>
      <w:pPr>
        <w:pStyle w:val="Heading2"/>
        <w:keepNext/>
      </w:pPr>
      <w:r>
        <w:t>5.1 Prepare the host</w:t>
      </w:r>
    </w:p>
    <w:p>
      <w:pPr>
        <w:pStyle w:val="ListNumber"/>
        <w:spacing w:after="40"/>
      </w:pPr>
      <w:r>
        <w:t>Provision the application and GPU hosts, private network rules, DNS records and managed database.</w:t>
      </w:r>
    </w:p>
    <w:p>
      <w:pPr>
        <w:pStyle w:val="ListNumber"/>
        <w:spacing w:after="40"/>
      </w:pPr>
      <w:r>
        <w:t>Install Node.js 20+, npm, Python 3.11–3.13, FFmpeg, Git, curl and the required NVIDIA driver/CUDA stack on the GPU host.</w:t>
      </w:r>
    </w:p>
    <w:p>
      <w:pPr>
        <w:pStyle w:val="ListNumber"/>
        <w:spacing w:after="40"/>
      </w:pPr>
      <w:r>
        <w:t>Create a non-root service account and deployment directory. Give the API/worker only the filesystem permissions they require.</w:t>
      </w:r>
    </w:p>
    <w:p>
      <w:pPr>
        <w:pStyle w:val="ListNumber"/>
        <w:spacing w:after="40"/>
      </w:pPr>
      <w:r>
        <w:t>Provision the vault entries and inject the environment variables without writing secrets into Git.</w:t>
      </w:r>
    </w:p>
    <w:p>
      <w:pPr>
        <w:pStyle w:val="ListNumber"/>
        <w:spacing w:after="40"/>
      </w:pPr>
      <w:r>
        <w:t>Install model weights and third-party runtime files using Kone_Setup_Python3.12_3.13.sh setup. Record model versions and checksums in the release record.</w:t>
      </w:r>
    </w:p>
    <w:p>
      <w:pPr>
        <w:pStyle w:val="Heading2"/>
        <w:keepNext/>
      </w:pPr>
      <w:r>
        <w:t>5.2 Build the frontend</w:t>
      </w:r>
    </w:p>
    <w:p>
      <w:pPr>
        <w:spacing w:after="140"/>
        <w:ind w:left="360"/>
      </w:pPr>
      <w:r>
        <w:rPr>
          <w:rFonts w:ascii="Courier New" w:hAnsi="Courier New"/>
          <w:color w:val="334155"/>
          <w:sz w:val="16"/>
        </w:rPr>
        <w:t>cd /path/to/Kone/Frontend/kone-ui-master</w:t>
        <w:br/>
        <w:t>npm ci</w:t>
        <w:br/>
        <w:t># Set VITE_API_BASE_URL to the production HTTPS API before building</w:t>
        <w:br/>
        <w:t>npm run build</w:t>
        <w:br/>
        <w:t># Serve the generated dist/ directory from the reverse proxy or CDN</w:t>
      </w:r>
    </w:p>
    <w:p>
      <w:pPr>
        <w:spacing w:after="120"/>
      </w:pPr>
      <w:r>
        <w:t>Vite values are compiled into the frontend at build time. If VITE_API_BASE_URL or another VITE_* value changes, rebuild the frontend; restarting the static server alone is not enough.</w:t>
      </w:r>
    </w:p>
    <w:p>
      <w:pPr>
        <w:pStyle w:val="Heading2"/>
        <w:keepNext/>
      </w:pPr>
      <w:r>
        <w:t>5.3 Install and run the API</w:t>
      </w:r>
    </w:p>
    <w:p>
      <w:pPr>
        <w:spacing w:after="140"/>
        <w:ind w:left="360"/>
      </w:pPr>
      <w:r>
        <w:rPr>
          <w:rFonts w:ascii="Courier New" w:hAnsi="Courier New"/>
          <w:color w:val="334155"/>
          <w:sz w:val="16"/>
        </w:rPr>
        <w:t>cd /path/to/Kone/Frontend/kone-api-master</w:t>
        <w:br/>
        <w:t>npm ci --omit=dev</w:t>
        <w:br/>
        <w:t>NODE_ENV=production PORT=4000 node src/index.js</w:t>
      </w:r>
    </w:p>
    <w:p>
      <w:pPr>
        <w:spacing w:after="120"/>
      </w:pPr>
      <w:r>
        <w:t>Use systemd, PM2, a container service or an equivalent process manager for automatic restart and log collection. The package includes a PM2-oriented start script, but the current repository snapshot does not provide a verified production process definition; validate the chosen process-manager configuration during deployment.</w:t>
      </w:r>
    </w:p>
    <w:p>
      <w:pPr>
        <w:pStyle w:val="Heading2"/>
        <w:keepNext/>
      </w:pPr>
      <w:r>
        <w:t>5.4 Run the AI services</w:t>
      </w:r>
    </w:p>
    <w:p>
      <w:pPr>
        <w:spacing w:after="140"/>
        <w:ind w:left="360"/>
      </w:pPr>
      <w:r>
        <w:rPr>
          <w:rFonts w:ascii="Courier New" w:hAnsi="Courier New"/>
          <w:color w:val="334155"/>
          <w:sz w:val="16"/>
        </w:rPr>
        <w:t>cd /path/to/Kone/elevator_mod_pipeline</w:t>
        <w:br/>
        <w:t>/path/to/.venv/bin/python -m uvicorn server:app --app-dir src --host 127.0.0.1 --port 8001</w:t>
        <w:br/>
        <w:br/>
        <w:t># FireRed, when enabled</w:t>
        <w:br/>
        <w:t>/path/to/firered_venv/bin/python -m uvicorn firered_service:app --host 127.0.0.1 --port 8010 --workers 1</w:t>
      </w:r>
    </w:p>
    <w:p>
      <w:pPr>
        <w:spacing w:after="120"/>
      </w:pPr>
      <w:r>
        <w:t>Use private addresses for internal services. If a separate GPU host is used, set LOGIC_URL to its private HTTPS or private HTTP service endpoint and allow only the API host/network to connect.</w:t>
      </w:r>
    </w:p>
    <w:p>
      <w:pPr>
        <w:pStyle w:val="Heading2"/>
        <w:keepNext/>
      </w:pPr>
      <w:r>
        <w:t>5.5 Reverse proxy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Public route</w:t>
            </w:r>
          </w:p>
        </w:tc>
        <w:tc>
          <w:tcPr>
            <w:tcW w:type="dxa" w:w="2880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Upstream</w:t>
            </w:r>
          </w:p>
        </w:tc>
        <w:tc>
          <w:tcPr>
            <w:tcW w:type="dxa" w:w="5184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behavior</w:t>
            </w:r>
          </w:p>
        </w:tc>
      </w:tr>
      <w:tr>
        <w:tc>
          <w:tcPr>
            <w:tcW w:type="dxa" w:w="2304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/</w:t>
            </w:r>
          </w:p>
        </w:tc>
        <w:tc>
          <w:tcPr>
            <w:tcW w:type="dxa" w:w="2880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Frontend dist/</w:t>
            </w:r>
          </w:p>
        </w:tc>
        <w:tc>
          <w:tcPr>
            <w:tcW w:type="dxa" w:w="5184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Serve SPA entry point and static assets; route unknown browser paths to index.html if needed.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/api/v1/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Node API :4000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Proxy authorization headers, JSON, multipart uploads and long-running request timeouts.</w:t>
            </w:r>
          </w:p>
        </w:tc>
      </w:tr>
      <w:tr>
        <w:tc>
          <w:tcPr>
            <w:tcW w:type="dxa" w:w="2304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/output/ and media routes</w:t>
            </w:r>
          </w:p>
        </w:tc>
        <w:tc>
          <w:tcPr>
            <w:tcW w:type="dxa" w:w="2880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Node API/static object storage</w:t>
            </w:r>
          </w:p>
        </w:tc>
        <w:tc>
          <w:tcPr>
            <w:tcW w:type="dxa" w:w="5184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Prefer private/signed object URLs in production; avoid exposing broad filesystem paths.</w:t>
            </w:r>
          </w:p>
        </w:tc>
      </w:tr>
    </w:tbl>
    <w:p/>
    <w:p>
      <w:pPr>
        <w:spacing w:after="120"/>
      </w:pPr>
      <w:r>
        <w:t>Increase proxy/read timeouts for image and video operations according to the expected workflow duration. Keep upload-size limits aligned across the edge proxy, Express JSON/multipart handling and object storage.</w:t>
      </w:r>
    </w:p>
    <w:p>
      <w:pPr>
        <w:pStyle w:val="Heading1"/>
        <w:keepNext/>
      </w:pPr>
      <w:r>
        <w:t>6. Update and redeploy procedure</w:t>
      </w:r>
    </w:p>
    <w:p>
      <w:pPr>
        <w:pStyle w:val="Heading2"/>
        <w:keepNext/>
      </w:pPr>
      <w:r>
        <w:t>6.1 Standard release checklist</w:t>
      </w:r>
    </w:p>
    <w:p>
      <w:pPr>
        <w:pStyle w:val="ListNumber"/>
        <w:spacing w:after="40"/>
      </w:pPr>
      <w:r>
        <w:t>Confirm the release commit/tag and review the change list, especially model, schema, upload, authentication and media-path changes.</w:t>
      </w:r>
    </w:p>
    <w:p>
      <w:pPr>
        <w:pStyle w:val="ListNumber"/>
        <w:spacing w:after="40"/>
      </w:pPr>
      <w:r>
        <w:t>Check backup freshness and take a pre-deployment MongoDB/media backup.</w:t>
      </w:r>
    </w:p>
    <w:p>
      <w:pPr>
        <w:pStyle w:val="ListNumber"/>
        <w:spacing w:after="40"/>
      </w:pPr>
      <w:r>
        <w:t>Put the application into a maintenance window if the release changes workflow behavior or restarts GPU services.</w:t>
      </w:r>
    </w:p>
    <w:p>
      <w:pPr>
        <w:pStyle w:val="ListNumber"/>
        <w:spacing w:after="40"/>
      </w:pPr>
      <w:r>
        <w:t>Pull the release into a new versioned directory or deployment slot; do not overwrite the previous working release in place.</w:t>
      </w:r>
    </w:p>
    <w:p>
      <w:pPr>
        <w:pStyle w:val="ListNumber"/>
        <w:spacing w:after="40"/>
      </w:pPr>
      <w:r>
        <w:t>Install locked dependencies with npm ci and recreate/refresh the Python environment only when the release requires it.</w:t>
      </w:r>
    </w:p>
    <w:p>
      <w:pPr>
        <w:pStyle w:val="ListNumber"/>
        <w:spacing w:after="40"/>
      </w:pPr>
      <w:r>
        <w:t>Build the frontend with production VITE_* values and publish the new dist/ directory.</w:t>
      </w:r>
    </w:p>
    <w:p>
      <w:pPr>
        <w:pStyle w:val="ListNumber"/>
        <w:spacing w:after="40"/>
      </w:pPr>
      <w:r>
        <w:t>Restart services in order: AI worker dependencies, FastAPI, Node API, then edge/static frontend. Confirm each process is healthy before continuing.</w:t>
      </w:r>
    </w:p>
    <w:p>
      <w:pPr>
        <w:pStyle w:val="ListNumber"/>
        <w:spacing w:after="40"/>
      </w:pPr>
      <w:r>
        <w:t>Run the smoke tests below, monitor logs and GPU/database health, then close the maintenance window.</w:t>
      </w:r>
    </w:p>
    <w:p>
      <w:pPr>
        <w:pStyle w:val="Heading2"/>
        <w:keepNext/>
      </w:pPr>
      <w:r>
        <w:t>6.2 Smoke tests after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6048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4320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Open public domain over HTTPS</w:t>
            </w:r>
          </w:p>
        </w:tc>
        <w:tc>
          <w:tcPr>
            <w:tcW w:type="dxa" w:w="6048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Certificate valid; frontend loads without mixed-content or console API errors.</w:t>
            </w:r>
          </w:p>
        </w:tc>
      </w:tr>
      <w:tr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Sign in / token refresh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User can authenticate and refresh a session.</w:t>
            </w:r>
          </w:p>
        </w:tc>
      </w:tr>
      <w:tr>
        <w:tc>
          <w:tcPr>
            <w:tcW w:type="dxa" w:w="4320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Create project and offering</w:t>
            </w:r>
          </w:p>
        </w:tc>
        <w:tc>
          <w:tcPr>
            <w:tcW w:type="dxa" w:w="6048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MongoDB write succeeds; records appear in the UI.</w:t>
            </w:r>
          </w:p>
        </w:tc>
      </w:tr>
      <w:tr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Upload and precheck a small test image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Upload completes and pipeline returns a valid precheck result.</w:t>
            </w:r>
          </w:p>
        </w:tc>
      </w:tr>
      <w:tr>
        <w:tc>
          <w:tcPr>
            <w:tcW w:type="dxa" w:w="4320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Generate preview</w:t>
            </w:r>
          </w:p>
        </w:tc>
        <w:tc>
          <w:tcPr>
            <w:tcW w:type="dxa" w:w="6048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Offering status moves through processing to preview_ready or a documented failure.</w:t>
            </w:r>
          </w:p>
        </w:tc>
      </w:tr>
      <w:tr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Optional video test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Video generation completes or returns a clear status/error; GPU/ComfyUI logs are healthy.</w:t>
            </w:r>
          </w:p>
        </w:tc>
      </w:tr>
      <w:tr>
        <w:tc>
          <w:tcPr>
            <w:tcW w:type="dxa" w:w="4320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Download/export test</w:t>
            </w:r>
          </w:p>
        </w:tc>
        <w:tc>
          <w:tcPr>
            <w:tcW w:type="dxa" w:w="6048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Generated media is reachable only through intended authenticated/signed paths.</w:t>
            </w:r>
          </w:p>
        </w:tc>
      </w:tr>
      <w:tr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Review logs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No secret values, unexpected 5xx spikes or unbounded queue/process growth.</w:t>
            </w:r>
          </w:p>
        </w:tc>
      </w:tr>
    </w:tbl>
    <w:p/>
    <w:p>
      <w:pPr>
        <w:pStyle w:val="Heading2"/>
        <w:keepNext/>
      </w:pPr>
      <w:r>
        <w:t>6.3 Rollback</w:t>
      </w:r>
    </w:p>
    <w:p>
      <w:pPr>
        <w:pStyle w:val="ListNumber"/>
        <w:spacing w:after="40"/>
      </w:pPr>
      <w:r>
        <w:t>Stop or drain the new release and route traffic to the previous release directory/container.</w:t>
      </w:r>
    </w:p>
    <w:p>
      <w:pPr>
        <w:pStyle w:val="ListNumber"/>
        <w:spacing w:after="40"/>
      </w:pPr>
      <w:r>
        <w:t>Restore the previous frontend dist/ and restart the API/worker processes using the previous dependency/model set.</w:t>
      </w:r>
    </w:p>
    <w:p>
      <w:pPr>
        <w:pStyle w:val="ListNumber"/>
        <w:spacing w:after="40"/>
      </w:pPr>
      <w:r>
        <w:t>Restore MongoDB only if a schema/data change requires it and the rollback plan explicitly includes that restore. Take a new backup before restoring.</w:t>
      </w:r>
    </w:p>
    <w:p>
      <w:pPr>
        <w:pStyle w:val="ListNumber"/>
        <w:spacing w:after="40"/>
      </w:pPr>
      <w:r>
        <w:t>Repeat the smoke tests and record the failed release, logs, backup identifiers and rollback decision.</w:t>
      </w:r>
    </w:p>
    <w:p>
      <w:pPr>
        <w:spacing w:after="120"/>
      </w:pPr>
      <w:r>
        <w:t>The repository does not show a dedicated database migration framework. Treat model/schema changes as release-sensitive, test them against a copy of production data, and create a manual migration/rollback script when a change is not backward-compatible.</w:t>
      </w:r>
    </w:p>
    <w:p>
      <w:pPr>
        <w:pStyle w:val="Heading1"/>
        <w:keepNext/>
      </w:pPr>
      <w:r>
        <w:t>7. Backup and restore strategy</w:t>
      </w:r>
    </w:p>
    <w:p>
      <w:pPr>
        <w:spacing w:after="120"/>
      </w:pPr>
      <w:r>
        <w:t>Back up three categories separately: database records, generated/source media, and deployment configuration/model assets. A backup is not complete until restoration has been tested on a separate environment.</w:t>
      </w:r>
    </w:p>
    <w:p>
      <w:pPr>
        <w:pStyle w:val="Heading2"/>
        <w:keepNext/>
      </w:pPr>
      <w:r>
        <w:t>7.1 Recommended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Asset</w:t>
            </w:r>
          </w:p>
        </w:tc>
        <w:tc>
          <w:tcPr>
            <w:tcW w:type="dxa" w:w="5256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Minimum recommendation</w:t>
            </w:r>
          </w:p>
        </w:tc>
        <w:tc>
          <w:tcPr>
            <w:tcW w:type="dxa" w:w="2880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Restore test</w:t>
            </w:r>
          </w:p>
        </w:tc>
      </w:tr>
      <w:tr>
        <w:tc>
          <w:tcPr>
            <w:tcW w:type="dxa" w:w="2232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MongoDB</w:t>
            </w:r>
          </w:p>
        </w:tc>
        <w:tc>
          <w:tcPr>
            <w:tcW w:type="dxa" w:w="5256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Automated daily logical backup plus provider snapshots/point-in-time recovery where available. Encrypt at rest and in transit.</w:t>
            </w:r>
          </w:p>
        </w:tc>
        <w:tc>
          <w:tcPr>
            <w:tcW w:type="dxa" w:w="2880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Restore into an isolated database and verify users, projects, offerings and token indexes.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Source/generated media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Store production media in durable object storage with lifecycle/versioning; retain local disks only as a cache.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Restore a sample project and verify image/video URLs and download behavior.</w:t>
            </w:r>
          </w:p>
        </w:tc>
      </w:tr>
      <w:tr>
        <w:tc>
          <w:tcPr>
            <w:tcW w:type="dxa" w:w="2232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Environment configuration</w:t>
            </w:r>
          </w:p>
        </w:tc>
        <w:tc>
          <w:tcPr>
            <w:tcW w:type="dxa" w:w="5256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Back up deployment manifests and non-secret config in Git; keep secret values only in the vault.</w:t>
            </w:r>
          </w:p>
        </w:tc>
        <w:tc>
          <w:tcPr>
            <w:tcW w:type="dxa" w:w="2880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Provision a clean staging host from the documented vault references.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AI models/weights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Record model versions/checksums and retain an immutable copy or reproducible download location.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Start a worker from the recorded bundle and run a precheck/preview test.</w:t>
            </w:r>
          </w:p>
        </w:tc>
      </w:tr>
      <w:tr>
        <w:tc>
          <w:tcPr>
            <w:tcW w:type="dxa" w:w="2232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Logs/audit</w:t>
            </w:r>
          </w:p>
        </w:tc>
        <w:tc>
          <w:tcPr>
            <w:tcW w:type="dxa" w:w="5256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Forward logs to centralized retention; do not rely only on local logs under /root/Kone/logs.</w:t>
            </w:r>
          </w:p>
        </w:tc>
        <w:tc>
          <w:tcPr>
            <w:tcW w:type="dxa" w:w="2880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Search a restored/retained period for an incident ID or request timestamp.</w:t>
            </w:r>
          </w:p>
        </w:tc>
      </w:tr>
    </w:tbl>
    <w:p/>
    <w:p>
      <w:pPr>
        <w:pStyle w:val="Heading2"/>
        <w:keepNext/>
      </w:pPr>
      <w:r>
        <w:t>7.2 Example MongoDB commands</w:t>
      </w:r>
    </w:p>
    <w:p>
      <w:pPr>
        <w:spacing w:after="140"/>
        <w:ind w:left="360"/>
      </w:pPr>
      <w:r>
        <w:rPr>
          <w:rFonts w:ascii="Courier New" w:hAnsi="Courier New"/>
          <w:color w:val="334155"/>
          <w:sz w:val="16"/>
        </w:rPr>
        <w:t># Run from a protected backup host; replace placeholders and keep the URI in the vault</w:t>
        <w:br/>
        <w:t>mongodump --uri="$MONGODB_URL" --archive=/secure/backups/kone-$(date +%F).archive --gzip</w:t>
        <w:br/>
        <w:br/>
        <w:t># Restore only into an isolated target after approval</w:t>
        <w:br/>
        <w:t>mongorestore --uri="$RESTORE_MONGODB_URL" --archive=/secure/backups/kone-YYYY-MM-DD.archive --gzip --drop</w:t>
      </w:r>
    </w:p>
    <w:p>
      <w:pPr>
        <w:spacing w:after="120"/>
      </w:pPr>
      <w:r>
        <w:t>Use a secure backup location with restricted permissions, encryption and an off-host/off-region copy. Define retention, RPO and RTO with the client; suggested starting points are daily backups, a 30-day retention window, and a quarterly restore rehearsal.</w:t>
      </w:r>
    </w:p>
    <w:p>
      <w:pPr>
        <w:pStyle w:val="Heading1"/>
        <w:keepNext/>
      </w:pPr>
      <w:r>
        <w:t>8. Routine 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Frequency</w:t>
            </w:r>
          </w:p>
        </w:tc>
        <w:tc>
          <w:tcPr>
            <w:tcW w:type="dxa" w:w="8424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Tasks</w:t>
            </w:r>
          </w:p>
        </w:tc>
      </w:tr>
      <w:tr>
        <w:tc>
          <w:tcPr>
            <w:tcW w:type="dxa" w:w="1944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Every deployment</w:t>
            </w:r>
          </w:p>
        </w:tc>
        <w:tc>
          <w:tcPr>
            <w:tcW w:type="dxa" w:w="8424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Check service status, HTTPS, API authentication, one preview workflow, logs, disk space and GPU availability.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Daily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Review failed pipeline/video jobs, MongoDB/backup status, disk growth in uploads/output/storage/runs, and error alerts.</w:t>
            </w:r>
          </w:p>
        </w:tc>
      </w:tr>
      <w:tr>
        <w:tc>
          <w:tcPr>
            <w:tcW w:type="dxa" w:w="1944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Weekly</w:t>
            </w:r>
          </w:p>
        </w:tc>
        <w:tc>
          <w:tcPr>
            <w:tcW w:type="dxa" w:w="8424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Review dependency/security alerts, certificate expiry, vault access audit, backup success and model worker resource usage.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Monthly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Apply OS/security updates in a maintenance window, rotate temporary credentials, test restore of a backup sample, and review storage lifecycle costs.</w:t>
            </w:r>
          </w:p>
        </w:tc>
      </w:tr>
      <w:tr>
        <w:tc>
          <w:tcPr>
            <w:tcW w:type="dxa" w:w="1944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Quarterly</w:t>
            </w:r>
          </w:p>
        </w:tc>
        <w:tc>
          <w:tcPr>
            <w:tcW w:type="dxa" w:w="8424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Perform a full disaster-recovery exercise, review access/users, test certificate renewal, document capacity/performance and update this guide.</w:t>
            </w:r>
          </w:p>
        </w:tc>
      </w:tr>
    </w:tbl>
    <w:p/>
    <w:p>
      <w:pPr>
        <w:pStyle w:val="Heading2"/>
        <w:keepNext/>
      </w:pPr>
      <w:r>
        <w:t>Useful local diagnostics</w:t>
      </w:r>
    </w:p>
    <w:p>
      <w:pPr>
        <w:spacing w:after="140"/>
        <w:ind w:left="360"/>
      </w:pPr>
      <w:r>
        <w:rPr>
          <w:rFonts w:ascii="Courier New" w:hAnsi="Courier New"/>
          <w:color w:val="334155"/>
          <w:sz w:val="16"/>
        </w:rPr>
        <w:t># Service ports</w:t>
        <w:br/>
        <w:t>lsof -iTCP:3000 -sTCP:LISTEN</w:t>
        <w:br/>
        <w:t>lsof -iTCP:4000 -sTCP:LISTEN</w:t>
        <w:br/>
        <w:t>lsof -iTCP:8001 -sTCP:LISTEN</w:t>
        <w:br/>
        <w:t>lsof -iTCP:8010 -sTCP:LISTEN</w:t>
        <w:br/>
        <w:t>lsof -iTCP:8188 -sTCP:LISTEN</w:t>
        <w:br/>
        <w:br/>
        <w:t># FireRed readiness</w:t>
        <w:br/>
        <w:t>curl -fsS http://127.0.0.1:8010/health</w:t>
        <w:br/>
        <w:br/>
        <w:t># Repository checks</w:t>
        <w:br/>
        <w:t>cd Frontend/kone-ui-master &amp;&amp; npm run type-check &amp;&amp; npm run lint &amp;&amp; npm run test</w:t>
        <w:br/>
        <w:t>cd ../kone-api-master &amp;&amp; npm test &amp;&amp; npm run lint</w:t>
      </w:r>
    </w:p>
    <w:p>
      <w:pPr>
        <w:spacing w:after="120"/>
      </w:pPr>
      <w:r>
        <w:t>The current kill_ports.sh can stop listeners on the local KONE ports, but it uses force-kill behavior after a short grace period. Use it only on a dedicated development host or after confirming the listed ports are not shared with another application.</w:t>
      </w:r>
    </w:p>
    <w:p>
      <w:pPr>
        <w:pStyle w:val="Heading1"/>
        <w:keepNext/>
      </w:pPr>
      <w:r>
        <w:t>9. Known issues and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Issue / limitation</w:t>
            </w:r>
          </w:p>
        </w:tc>
        <w:tc>
          <w:tcPr>
            <w:tcW w:type="dxa" w:w="3888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Impact</w:t>
            </w:r>
          </w:p>
        </w:tc>
        <w:tc>
          <w:tcPr>
            <w:tcW w:type="dxa" w:w="4032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Recommended handling</w:t>
            </w:r>
          </w:p>
        </w:tc>
      </w:tr>
      <w:tr>
        <w:tc>
          <w:tcPr>
            <w:tcW w:type="dxa" w:w="2448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Local launcher is development-oriented</w:t>
            </w:r>
          </w:p>
        </w:tc>
        <w:tc>
          <w:tcPr>
            <w:tcW w:type="dxa" w:w="3888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start_kone.sh uses absolute /root/Kone paths, NODE_ENV=development, a local JWT value and Vite dev servers.</w:t>
            </w:r>
          </w:p>
        </w:tc>
        <w:tc>
          <w:tcPr>
            <w:tcW w:type="dxa" w:w="4032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Use a production process manager, injected secrets, production build and reverse proxy.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No verified production deployment manifest in this snapshot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PM2/Docker scripts are referenced by package.json, but the matching production definition should be validated before use.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Create and test systemd/PM2/container definitions as part of infrastructure setup.</w:t>
            </w:r>
          </w:p>
        </w:tc>
      </w:tr>
      <w:tr>
        <w:tc>
          <w:tcPr>
            <w:tcW w:type="dxa" w:w="2448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Swagger is development-only</w:t>
            </w:r>
          </w:p>
        </w:tc>
        <w:tc>
          <w:tcPr>
            <w:tcW w:type="dxa" w:w="3888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The /api/v1/docs route is not intended as a public production endpoint.</w:t>
            </w:r>
          </w:p>
        </w:tc>
        <w:tc>
          <w:tcPr>
            <w:tcW w:type="dxa" w:w="4032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Protect or disable it in production; share an approved API specification separately.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GPU/model dependencies are environment-sensitive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CUDA, PyTorch, model weights and VRAM affect startup time and output reliability.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Pin versions, record checksums, keep model bundles, and test on the target GPU.</w:t>
            </w:r>
          </w:p>
        </w:tc>
      </w:tr>
      <w:tr>
        <w:tc>
          <w:tcPr>
            <w:tcW w:type="dxa" w:w="2448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ComfyUI/Wan video is optional and resource-heavy</w:t>
            </w:r>
          </w:p>
        </w:tc>
        <w:tc>
          <w:tcPr>
            <w:tcW w:type="dxa" w:w="3888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Video generation may be slow, fail if models are absent, or require a separate GPU/process.</w:t>
            </w:r>
          </w:p>
        </w:tc>
        <w:tc>
          <w:tcPr>
            <w:tcW w:type="dxa" w:w="4032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Keep it private, monitor queue/resource use, and provide OpenCV fallback where appropriate.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Guest routes are separate from bearer-token auth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Guest endpoints need deployment-level abuse controls and retention policies.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Rate-limit at the edge, restrict payload size, monitor sessions and clean up abandoned media.</w:t>
            </w:r>
          </w:p>
        </w:tc>
      </w:tr>
      <w:tr>
        <w:tc>
          <w:tcPr>
            <w:tcW w:type="dxa" w:w="2448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Local media paths can grow without retention</w:t>
            </w:r>
          </w:p>
        </w:tc>
        <w:tc>
          <w:tcPr>
            <w:tcW w:type="dxa" w:w="3888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output/, storage/, uploads/, tmp_uploads/ and pipeline run directories can consume disk.</w:t>
            </w:r>
          </w:p>
        </w:tc>
        <w:tc>
          <w:tcPr>
            <w:tcW w:type="dxa" w:w="4032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Use object storage/lifecycle policies and scheduled cleanup with an approved retention period.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No dedicated migration/backup scripts are included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Schema/data changes and disaster recovery require operator-owned procedures.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Add versioned migration and restore automation before long-term production operation.</w:t>
            </w:r>
          </w:p>
        </w:tc>
      </w:tr>
      <w:tr>
        <w:tc>
          <w:tcPr>
            <w:tcW w:type="dxa" w:w="2448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Broad default CORS/static behavior should be reviewed</w:t>
            </w:r>
          </w:p>
        </w:tc>
        <w:tc>
          <w:tcPr>
            <w:tcW w:type="dxa" w:w="3888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The current API enables CORS and serves several local media directories.</w:t>
            </w:r>
          </w:p>
        </w:tc>
        <w:tc>
          <w:tcPr>
            <w:tcW w:type="dxa" w:w="4032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Set explicit allowed origins and use signed/private media delivery in production.</w:t>
            </w:r>
          </w:p>
        </w:tc>
      </w:tr>
    </w:tbl>
    <w:p/>
    <w:p>
      <w:pPr>
        <w:pStyle w:val="Heading1"/>
        <w:keepNext/>
      </w:pPr>
      <w:r>
        <w:t>10. Incident response quick reference</w:t>
      </w:r>
    </w:p>
    <w:p>
      <w:pPr>
        <w:pStyle w:val="ListNumber"/>
        <w:spacing w:after="40"/>
      </w:pPr>
      <w:r>
        <w:t>Confirm the public symptom and record time, affected user/project/offering, release version and request IDs if available.</w:t>
      </w:r>
    </w:p>
    <w:p>
      <w:pPr>
        <w:pStyle w:val="ListNumber"/>
        <w:spacing w:after="40"/>
      </w:pPr>
      <w:r>
        <w:t>Check edge/proxy, API, FastAPI, FireRed, ComfyUI and MongoDB health separately; do not assume an API error is a model error.</w:t>
      </w:r>
    </w:p>
    <w:p>
      <w:pPr>
        <w:pStyle w:val="ListNumber"/>
        <w:spacing w:after="40"/>
      </w:pPr>
      <w:r>
        <w:t>Check disk space, GPU memory/processes, MongoDB connectivity, vault secret freshness and third-party integration status.</w:t>
      </w:r>
    </w:p>
    <w:p>
      <w:pPr>
        <w:pStyle w:val="ListNumber"/>
        <w:spacing w:after="40"/>
      </w:pPr>
      <w:r>
        <w:t>If data integrity is at risk, stop destructive retries, preserve logs and take a backup/snapshot before changes.</w:t>
      </w:r>
    </w:p>
    <w:p>
      <w:pPr>
        <w:pStyle w:val="ListNumber"/>
        <w:spacing w:after="40"/>
      </w:pPr>
      <w:r>
        <w:t>Use the rollback procedure for release-related regressions. Escalate to the infrastructure/model owner for GPU, CUDA or external-provider failures.</w:t>
      </w:r>
    </w:p>
    <w:p>
      <w:pPr>
        <w:pStyle w:val="ListNumber"/>
        <w:spacing w:after="40"/>
      </w:pPr>
      <w:r>
        <w:t>After recovery, document root cause, affected assets, backup/restore actions and a prevention task.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76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992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First places to check</w:t>
            </w:r>
          </w:p>
        </w:tc>
      </w:tr>
      <w:tr>
        <w:tc>
          <w:tcPr>
            <w:tcW w:type="dxa" w:w="2376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Frontend/API connection</w:t>
            </w:r>
          </w:p>
        </w:tc>
        <w:tc>
          <w:tcPr>
            <w:tcW w:type="dxa" w:w="7992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Browser console, HTTPS certificate, reverse-proxy access/error log, VITE_API_BASE_URL.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Authentication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API log, MongoDB connection, JWT_SECRET consistency across API instances, user status.</w:t>
            </w:r>
          </w:p>
        </w:tc>
      </w:tr>
      <w:tr>
        <w:tc>
          <w:tcPr>
            <w:tcW w:type="dxa" w:w="2376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Image processing</w:t>
            </w:r>
          </w:p>
        </w:tc>
        <w:tc>
          <w:tcPr>
            <w:tcW w:type="dxa" w:w="7992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logic-firered log, FastAPI status.json/run directory, GPU memory, model paths and CUDA/PyTorch versions.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FireRed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curl http://127.0.0.1:8010/health and FireRed service log.</w:t>
            </w:r>
          </w:p>
        </w:tc>
      </w:tr>
      <w:tr>
        <w:tc>
          <w:tcPr>
            <w:tcW w:type="dxa" w:w="2376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Video</w:t>
            </w:r>
          </w:p>
        </w:tc>
        <w:tc>
          <w:tcPr>
            <w:tcW w:type="dxa" w:w="7992"/>
            <w:vAlign w:val="center"/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ComfyUI log, COMFY_URL/COMFY_ROOT/runner paths, model availability and GPU capacity.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Downloads/media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Node output/storage/uploads paths, Azure sync status, object-storage permissions and retention policy.</w:t>
            </w:r>
          </w:p>
        </w:tc>
      </w:tr>
    </w:tbl>
    <w:p/>
    <w:p>
      <w:pPr>
        <w:pStyle w:val="Heading1"/>
        <w:keepNext/>
      </w:pPr>
      <w:r>
        <w:t>11. Handover checklist</w:t>
      </w:r>
    </w:p>
    <w:p>
      <w:pPr>
        <w:pStyle w:val="ListBullet"/>
        <w:spacing w:after="40"/>
      </w:pPr>
      <w:r>
        <w:t>Production domain, DNS owner and certificate renewal owner confirmed.</w:t>
      </w:r>
    </w:p>
    <w:p>
      <w:pPr>
        <w:pStyle w:val="ListBullet"/>
        <w:spacing w:after="40"/>
      </w:pPr>
      <w:r>
        <w:t>Application host, GPU worker and database host details recorded in the client infrastructure register.</w:t>
      </w:r>
    </w:p>
    <w:p>
      <w:pPr>
        <w:pStyle w:val="ListBullet"/>
        <w:spacing w:after="40"/>
      </w:pPr>
      <w:r>
        <w:t>Vault project created; named users/groups have least-privilege access; no secrets shared in plaintext.</w:t>
      </w:r>
    </w:p>
    <w:p>
      <w:pPr>
        <w:pStyle w:val="ListBullet"/>
        <w:spacing w:after="40"/>
      </w:pPr>
      <w:r>
        <w:t>Frontend production build and API environment values tested against the production domain.</w:t>
      </w:r>
    </w:p>
    <w:p>
      <w:pPr>
        <w:pStyle w:val="ListBullet"/>
        <w:spacing w:after="40"/>
      </w:pPr>
      <w:r>
        <w:t>Private network rules verified for API → AI worker, API → MongoDB and optional storage/integration services.</w:t>
      </w:r>
    </w:p>
    <w:p>
      <w:pPr>
        <w:pStyle w:val="ListBullet"/>
        <w:spacing w:after="40"/>
      </w:pPr>
      <w:r>
        <w:t>Backup jobs enabled, retention agreed and a restore test completed.</w:t>
      </w:r>
    </w:p>
    <w:p>
      <w:pPr>
        <w:pStyle w:val="ListBullet"/>
        <w:spacing w:after="40"/>
      </w:pPr>
      <w:r>
        <w:t>Process manager, logs, alerts, disk/GPU monitoring and escalation contacts confirmed.</w:t>
      </w:r>
    </w:p>
    <w:p>
      <w:pPr>
        <w:pStyle w:val="ListBullet"/>
        <w:spacing w:after="40"/>
      </w:pPr>
      <w:r>
        <w:t>Rollback release and release checklist stored with the deployment record.</w:t>
      </w:r>
    </w:p>
    <w:p>
      <w:pPr>
        <w:spacing w:after="120"/>
      </w:pPr>
      <w:r>
        <w:t>This guide intentionally leaves provider-specific hostnames, IP addresses, certificate identifiers and vault paths as deployment-owned information. Fill those values in the client infrastructure register or secure vault—not in a public handover document.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3606B"/>
        <w:sz w:val="16"/>
      </w:rPr>
      <w:t>KONE AI Sales Visualisation Platform  |  Deployment &amp; Maintenance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0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5A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D8C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0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