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120"/>
        <w:jc w:val="center"/>
      </w:pPr>
      <w:r>
        <w:rPr>
          <w:rFonts w:ascii="Times New Roman" w:hAnsi="Times New Roman" w:eastAsia="黑体"/>
          <w:b/>
          <w:color w:val="1F7A33"/>
          <w:sz w:val="24"/>
        </w:rPr>
        <w:t>已通过人工核验（核验人：张三，执业律师）</w:t>
      </w:r>
    </w:p>
    <w:p>
      <w:pPr>
        <w:spacing w:lineRule="exact" w:line="400" w:before="0" w:after="120"/>
        <w:jc w:val="center"/>
      </w:pPr>
      <w:r>
        <w:rPr>
          <w:rFonts w:ascii="Times New Roman" w:hAnsi="Times New Roman" w:eastAsia="黑体"/>
          <w:b/>
          <w:color w:val="1F7A33"/>
          <w:sz w:val="24"/>
        </w:rPr>
        <w:t>已签发（签发人：张三，2026-08-28）</w:t>
      </w:r>
    </w:p>
    <w:p>
      <w:pPr>
        <w:spacing w:lineRule="exact" w:line="680" w:before="0" w:after="160"/>
        <w:jc w:val="center"/>
      </w:pPr>
      <w:r>
        <w:rPr>
          <w:rFonts w:ascii="Times New Roman" w:hAnsi="Times New Roman" w:eastAsia="黑体"/>
          <w:b/>
          <w:sz w:val="36"/>
        </w:rPr>
        <w:t>律师函</w:t>
      </w:r>
    </w:p>
    <w:p>
      <w:pPr>
        <w:spacing w:lineRule="exact" w:line="440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——关于催告支付拖欠货款的函</w:t>
      </w:r>
    </w:p>
    <w:p>
      <w:pPr>
        <w:spacing w:lineRule="exact" w:line="560" w:before="0" w:after="0"/>
      </w:pPr>
      <w:r>
        <w:rPr>
          <w:rFonts w:ascii="Times New Roman" w:hAnsi="Times New Roman" w:eastAsia="仿宋"/>
          <w:b w:val="0"/>
          <w:sz w:val="28"/>
        </w:rPr>
        <w:t>致：乙贸易有限公司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北京某某律师事务所（以下简称「本所」）接受甲商贸有限公司（以下简称「委托人」）的委托，指派张三律师（执业证号：11101202611111111）就催告支付拖欠货款事宜向您致函如下：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一、事实与理由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2026年6月1日，委托人与贵司签订《货物买卖合同》，约定贵司收货后三十日内支付货款人民币10万元。贵司已签收全部货物，经多次催告至今未付款。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二、法律依据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《中华人民共和国民法典》第五百七十七条（现行有效，施行日期：2021-01-01）：当事人一方不履行合同义务或者履行合同义务不符合约定的，应当承担继续履行、采取补救措施或者赔偿损失等违约责任。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三、催告要求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1、于本函发出之日起七日内支付全部拖欠货款人民币10万元；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2、承担逾期付款利息。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请您于本函发出之日起七日内履行上述义务。逾期未履行的，委托人将保留依法采取进一步措施（包括但不限于提起诉讼、申请财产保全等）追究相应法律责任的权利，由此产生的费用与后果由您承担。</w:t>
      </w:r>
    </w:p>
    <w:p>
      <w:pPr>
        <w:spacing w:lineRule="exact" w:line="520" w:before="160" w:after="80"/>
      </w:pPr>
      <w:r>
        <w:rPr>
          <w:rFonts w:ascii="Times New Roman" w:hAnsi="Times New Roman" w:eastAsia="黑体"/>
          <w:b/>
          <w:sz w:val="28"/>
        </w:rPr>
        <w:t>四、其他</w:t>
      </w:r>
    </w:p>
    <w:p>
      <w:pPr>
        <w:spacing w:lineRule="exact" w:line="560" w:before="0" w:after="0"/>
        <w:ind w:firstLine="560"/>
      </w:pPr>
      <w:r>
        <w:rPr>
          <w:rFonts w:ascii="Times New Roman" w:hAnsi="Times New Roman" w:eastAsia="仿宋"/>
          <w:b w:val="0"/>
          <w:sz w:val="28"/>
        </w:rPr>
        <w:t>如您对本函所述事项存有异议，请于收函后以书面形式与本所联系并提供相应依据。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北京某某律师事务所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承办律师：张三（执业证号：11101202611111111）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联系方式：010-12345678</w:t>
      </w:r>
    </w:p>
    <w:p>
      <w:pPr>
        <w:spacing w:lineRule="exact" w:line="560" w:before="120" w:after="0"/>
        <w:jc w:val="right"/>
      </w:pPr>
      <w:r>
        <w:rPr>
          <w:rFonts w:ascii="Times New Roman" w:hAnsi="Times New Roman" w:eastAsia="仿宋"/>
          <w:b w:val="0"/>
          <w:sz w:val="28"/>
        </w:rPr>
        <w:t>2026年08月29日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E8E93"/>
        <w:sz w:val="18"/>
      </w:rPr>
      <w:t>LegalHigh 原型生成 · 文书编号 df_2f5a06222d2c · 生成日期 2026-08-29 · 法条版本快照 2026-08-29 · 内容不构成法律意见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