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Building</w:t>
      </w:r>
      <w:r>
        <w:t xml:space="preserve"> </w:t>
      </w:r>
      <w:r>
        <w:t xml:space="preserve">future</w:t>
      </w:r>
      <w:r>
        <w:t xml:space="preserve"> </w:t>
      </w:r>
      <w:r>
        <w:t xml:space="preserve">landscapes</w:t>
      </w:r>
      <w:r>
        <w:t xml:space="preserve"> </w:t>
      </w:r>
      <w:r>
        <w:t xml:space="preserve">to</w:t>
      </w:r>
      <w:r>
        <w:t xml:space="preserve"> </w:t>
      </w:r>
      <w:r>
        <w:t xml:space="preserve">assess</w:t>
      </w:r>
      <w:r>
        <w:t xml:space="preserve"> </w:t>
      </w:r>
      <w:r>
        <w:t xml:space="preserve">impact</w:t>
      </w:r>
      <w:r>
        <w:t xml:space="preserve"> </w:t>
      </w:r>
      <w:r>
        <w:t xml:space="preserve">of</w:t>
      </w:r>
      <w:r>
        <w:t xml:space="preserve"> </w:t>
      </w:r>
      <w:r>
        <w:t xml:space="preserve">land</w:t>
      </w:r>
      <w:r>
        <w:t xml:space="preserve"> </w:t>
      </w:r>
      <w:r>
        <w:t xml:space="preserve">use</w:t>
      </w:r>
      <w:r>
        <w:t xml:space="preserve"> </w:t>
      </w:r>
      <w:r>
        <w:t xml:space="preserve">land</w:t>
      </w:r>
      <w:r>
        <w:t xml:space="preserve"> </w:t>
      </w:r>
      <w:r>
        <w:t xml:space="preserve">cover</w:t>
      </w:r>
      <w:r>
        <w:t xml:space="preserve"> </w:t>
      </w:r>
      <w:r>
        <w:t xml:space="preserve">change</w:t>
      </w:r>
      <w:r>
        <w:t xml:space="preserve"> </w:t>
      </w:r>
      <w:r>
        <w:t xml:space="preserve">on</w:t>
      </w:r>
      <w:r>
        <w:t xml:space="preserve"> </w:t>
      </w:r>
      <w:r>
        <w:t xml:space="preserve">provisioning</w:t>
      </w:r>
      <w:r>
        <w:t xml:space="preserve"> </w:t>
      </w:r>
      <w:r>
        <w:t xml:space="preserve">of</w:t>
      </w:r>
      <w:r>
        <w:t xml:space="preserve"> </w:t>
      </w:r>
      <w:r>
        <w:t xml:space="preserve">ecosystem</w:t>
      </w:r>
      <w:r>
        <w:t xml:space="preserve"> </w:t>
      </w:r>
      <w:r>
        <w:t xml:space="preserve">services</w:t>
      </w:r>
    </w:p>
    <w:p>
      <w:pPr>
        <w:pStyle w:val="Author"/>
      </w:pPr>
      <w:r>
        <w:t xml:space="preserve">Reto</w:t>
      </w:r>
      <w:r>
        <w:t xml:space="preserve"> </w:t>
      </w:r>
      <w:r>
        <w:t xml:space="preserve">Schmucki</w:t>
      </w:r>
    </w:p>
    <w:p>
      <w:pPr>
        <w:pStyle w:val="Heading1"/>
      </w:pPr>
      <w:bookmarkStart w:id="21" w:name="abstract"/>
      <w:bookmarkEnd w:id="21"/>
      <w:r>
        <w:t xml:space="preserve">Abstract</w:t>
      </w:r>
    </w:p>
    <w:p>
      <w:pPr>
        <w:pStyle w:val="FirstParagraph"/>
      </w:pPr>
      <w:r>
        <w:t xml:space="preserve">LULC change models may become fundamental tools to accurately inform policy makers and land managers committed to sustainable development, biodiversity conservation and regional assessments of ecosystem services provisioning.</w:t>
      </w:r>
    </w:p>
    <w:p>
      <w:pPr>
        <w:pStyle w:val="Heading1"/>
      </w:pPr>
      <w:bookmarkStart w:id="22" w:name="introduction"/>
      <w:bookmarkEnd w:id="22"/>
      <w:r>
        <w:t xml:space="preserve">Introduction</w:t>
      </w:r>
    </w:p>
    <w:p>
      <w:pPr>
        <w:pStyle w:val="FirstParagraph"/>
      </w:pPr>
      <w:r>
        <w:t xml:space="preserve">Land use are dynamics and change in configuration and history of land use have important</w:t>
      </w:r>
      <w:r>
        <w:t xml:space="preserve"> </w:t>
      </w:r>
      <w:r>
        <w:rPr>
          <w:strike/>
        </w:rPr>
        <w:t xml:space="preserve">impact on provisioning of</w:t>
      </w:r>
      <w:r>
        <w:t xml:space="preserve"> </w:t>
      </w:r>
      <w:r>
        <w:t xml:space="preserve">ecosystem services.</w:t>
      </w:r>
    </w:p>
    <w:p>
      <w:pPr>
        <w:pStyle w:val="SourceCode"/>
      </w:pPr>
      <w:r>
        <w:rPr>
          <w:rStyle w:val="NormalTok"/>
        </w:rPr>
        <w:t xml:space="preserve">a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2+4</w:t>
      </w:r>
      <w:r>
        <w:br w:type="textWrapping"/>
      </w:r>
      <w:r>
        <w:rPr>
          <w:rStyle w:val="NormalTok"/>
        </w:rPr>
        <w:t xml:space="preserve">b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/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c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a/b</w:t>
      </w:r>
    </w:p>
    <w:p>
      <w:pPr>
        <w:pStyle w:val="Heading1"/>
      </w:pPr>
      <w:bookmarkStart w:id="23" w:name="wessex-study-region"/>
      <w:bookmarkEnd w:id="23"/>
      <w:r>
        <w:t xml:space="preserve">Wessex study region</w:t>
      </w:r>
    </w:p>
    <w:p>
      <w:pPr>
        <w:pStyle w:val="FigureWithCaption"/>
      </w:pPr>
      <w:r>
        <w:drawing>
          <wp:inline>
            <wp:extent cx="5334000" cy="5334000"/>
            <wp:effectExtent b="0" l="0" r="0" t="0"/>
            <wp:docPr descr="Wessex region" id="1" name="Picture"/>
            <a:graphic>
              <a:graphicData uri="http://schemas.openxmlformats.org/drawingml/2006/picture">
                <pic:pic>
                  <pic:nvPicPr>
                    <pic:cNvPr descr="figs/wessex_ma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Wessex region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361b743b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4" Target="media/rId24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Building future landscapes to assess impact of land use land cover change on provisioning of ecosystem services</dc:title>
  <dc:creator>Reto Schmucki</dc:creator>
</cp:coreProperties>
</file>