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法律意见书</w:t>
      </w:r>
    </w:p>
    <w:p>
      <w:pPr>
        <w:jc w:val="center"/>
      </w:pPr>
      <w:r>
        <w:t>生成时间：2025年08月06日 21:53</w:t>
      </w:r>
    </w:p>
    <w:p/>
    <w:p>
      <w:r>
        <w:t>【系统提示】正在对输入内容进行分段摘要...</w:t>
      </w:r>
    </w:p>
    <w:p>
      <w:r>
        <w:t>【系统提示】正在分析其他应收款异常...</w:t>
      </w:r>
    </w:p>
    <w:p>
      <w:r>
        <w:t>【系统提示】正在针对资本公积判断抽逃风险...</w:t>
      </w:r>
    </w:p>
    <w:p>
      <w:r>
        <w:t>【系统提示】正在分析其他应付款异常...</w:t>
      </w:r>
    </w:p>
    <w:p>
      <w:pPr>
        <w:pStyle w:val="Heading2"/>
      </w:pPr>
      <w:r>
        <w:t>得出初步结论：</w:t>
      </w:r>
    </w:p>
    <w:p>
      <w:r>
        <w:t>{</w:t>
      </w:r>
      <w:r>
        <w:br/>
        <w:t>"判断结论": "无法判断",</w:t>
      </w:r>
      <w:r>
        <w:br/>
        <w:t>"抽逃概率": "0%",</w:t>
      </w:r>
      <w:r>
        <w:br/>
        <w:t>"支撑论据": {</w:t>
      </w:r>
      <w:r>
        <w:br/>
        <w:t>"其他应收款": "提供的文档内容为空，无法识别任何关联方交易、异常特征或时间关联性证据。缺乏构建关联交易图谱的基础数据",</w:t>
      </w:r>
      <w:r>
        <w:br/>
        <w:t>"资本公积": "文档未包含任何资本公积变动记录，无法分析交易类型、金额、日期等关键要素。无法判断是否存在资本公积转出等异常情况",</w:t>
      </w:r>
      <w:r>
        <w:br/>
        <w:t>"其他应付款": "未提供任何债权人信息、交易记录或资金流向数据，关联交易图谱和债务关系分析均无法开展"</w:t>
      </w:r>
      <w:r>
        <w:br/>
        <w:t>},</w:t>
      </w:r>
      <w:r>
        <w:br/>
        <w:t>"补充说明": "当前分析基于完全空白的文档数据，建议提供完整的财务资料（包括但不限于：银行流水、关联方清单、验资报告、往来款明细等）后重新评估。在现有信息下，所有财务科目均无有效分析依据"</w:t>
      </w:r>
      <w:r>
        <w:br/>
        <w:t>}</w:t>
      </w:r>
    </w:p>
    <w:p>
      <w:r>
        <w:t>【系统提示】正在检索知识库...</w:t>
      </w:r>
    </w:p>
    <w:p>
      <w:pPr>
        <w:pStyle w:val="Heading1"/>
      </w:pPr>
      <w:r>
        <w:t>【系统提示】正在生成意见书...</w:t>
      </w:r>
    </w:p>
    <w:p>
      <w:pPr>
        <w:pStyle w:val="Heading2"/>
      </w:pPr>
      <w:r>
        <w:t>交易图</w:t>
      </w:r>
    </w:p>
    <w:p>
      <w:r>
        <w:t>[]</w:t>
      </w:r>
    </w:p>
    <w:p>
      <w:pPr>
        <w:pStyle w:val="Heading1"/>
      </w:pPr>
      <w:r>
        <w:t>最终法律意见书⬇️</w:t>
      </w:r>
    </w:p>
    <w:p>
      <w:pPr>
        <w:pStyle w:val="Heading1"/>
      </w:pPr>
      <w:r>
        <w:t>《股东出资合规性专项法律意见书》</w:t>
      </w:r>
    </w:p>
    <w:p>
      <w:r>
        <w:t>**致：[相关主体名称]**</w:t>
      </w:r>
    </w:p>
    <w:p>
      <w:pPr>
        <w:pStyle w:val="Heading2"/>
      </w:pPr>
      <w:r>
        <w:t>一、引言</w:t>
      </w:r>
    </w:p>
    <w:p>
      <w:pPr>
        <w:pStyle w:val="Heading1"/>
      </w:pPr>
      <w:r>
        <w:t>本所接受委托，依据委托人提供的相关资料及现行有效的法律法规，对涉及股东出资合规性事宜进行专项法律分析并出具本意见书。需要说明的是，由于委托人提供的基础数据存在严重缺失情况，导致部分关键事实难以查证核实，这在一定程度上影响了本意见书结论的准确性和完整性。现将具体情况阐述如下：</w:t>
      </w:r>
    </w:p>
    <w:p>
      <w:pPr>
        <w:pStyle w:val="Heading2"/>
      </w:pPr>
      <w:r>
        <w:t>二、审查范围与依据</w:t>
      </w:r>
    </w:p>
    <w:p>
      <w:pPr>
        <w:pStyle w:val="Heading2"/>
      </w:pPr>
      <w:r>
        <w:t>（一）审查范围</w:t>
      </w:r>
    </w:p>
    <w:p>
      <w:r>
        <w:t>本次审查聚焦于股东是否存在抽逃出资的行为以及相应的法律责任认定等问题，旨在依据相关法律法规及司法解释的规定，结合所提供的有限信息进行全面梳理和分析。</w:t>
      </w:r>
    </w:p>
    <w:p>
      <w:pPr>
        <w:pStyle w:val="Heading2"/>
      </w:pPr>
      <w:r>
        <w:t>（二）法律依据</w:t>
      </w:r>
    </w:p>
    <w:p>
      <w:pPr>
        <w:pStyle w:val="Heading2"/>
      </w:pPr>
      <w:r>
        <w:t>主要参照《中华人民共和国公司法》（2023年）、《最高人民法院关于适用〈中华人民共和国公司法〉若干问题的规定（三）》（2020年）等法律法规文件中关于股东出资义务、抽逃出资的界定、责任承担等方面的规定。例如：</w:t>
      </w:r>
    </w:p>
    <w:p>
      <w:r>
        <w:t>- 《公司法》第五十三条规定“公司成立后，股东不得抽逃出资。违反前款规定的，股东应当返还抽逃的出资；给公司造成损失的，负有责任的董事、监事、高级管理人员应当与该股东承担连带赔偿责任”；</w:t>
      </w:r>
      <w:r>
        <w:br/>
        <w:t>- 第五十四条指出“公司不能清偿到期债务的，公司或者已到期债权的债权人有权要求已认缴出资但未届出资期限的股东提前缴纳出资”；</w:t>
      </w:r>
      <w:r>
        <w:br/>
        <w:t>- 《最高人民法院关于适用〈中华人民共和国公司法〉若干问题的规定（三）》第十二条明确了可被认定为股东抽逃出资的具体情形，包括制作虚假财务会计报表虚增利润进行分配、通过虚构债权债务关系将其出资转出、利用关联交易将出资转出及其他未经法定程序将出资抽回的行为等；第十四条对股东抽逃出资时公司或其他股东、债权人的权利救济途径及相关主体责任作出了规定；第十九条则强调了在特定情况下被告股东以诉讼时效为由抗辩不被支持的情形；第十七条涉及有限责任公司股东未履行出资义务或者抽逃全部出资时公司解除其股东资格的相关程序及后续处理方式等。</w:t>
      </w:r>
    </w:p>
    <w:p>
      <w:pPr>
        <w:pStyle w:val="Heading2"/>
      </w:pPr>
      <w:r>
        <w:t>三、现状分析</w:t>
      </w:r>
    </w:p>
    <w:p>
      <w:pPr>
        <w:pStyle w:val="Heading2"/>
      </w:pPr>
      <w:r>
        <w:t>（一）资料匮乏导致的困境</w:t>
      </w:r>
    </w:p>
    <w:p>
      <w:pPr>
        <w:pStyle w:val="Heading2"/>
      </w:pPr>
      <w:r>
        <w:t>委托人提供的资料极为有限且关键内容空白，具体表现为：</w:t>
      </w:r>
    </w:p>
    <w:p>
      <w:r>
        <w:t>1. **其他应收款方面**：文档内容为空，无法识别任何关联方交易、异常特征或时间关联性证据，缺乏构建关联交易图谱的基础数据，使得难以从该角度判断是否存在股东通过其他应收款渠道抽逃出资的可能性。</w:t>
      </w:r>
      <w:r>
        <w:br/>
        <w:t>2. **资本公积方面**：未包含任何资本公积变动记录，无法分析交易类型、金额、日期等关键要素，进而无法判断是否存在资本公积转出等可能暗示抽逃出资的异常情况。</w:t>
      </w:r>
      <w:r>
        <w:br/>
        <w:t>3. **其他应付款方面**：未提供任何债权人信息、交易记录或资金流向数据，关联交易图谱和债务关系分析均无法开展，不能借此探究是否有与抽逃出资相关的隐秘操作。</w:t>
      </w:r>
    </w:p>
    <w:p>
      <w:pPr>
        <w:pStyle w:val="Heading2"/>
      </w:pPr>
      <w:r>
        <w:t>（二）对判断的影响</w:t>
      </w:r>
    </w:p>
    <w:p>
      <w:r>
        <w:t>上述资料缺失状况直接导致在进行股东出资合规性审查时面临诸多障碍，无法获取足以支撑准确判断的关键事实依据。例如，无法确切知晓公司内部资金往来的真实目的和性质，难以证实是否存在符合法律规定的抽逃出资行为及其具体表现形式；也无法有效评估相关主体的责任范围和程度等。</w:t>
      </w:r>
    </w:p>
    <w:p>
      <w:pPr>
        <w:pStyle w:val="Heading2"/>
      </w:pPr>
      <w:r>
        <w:t>四、判断结论</w:t>
      </w:r>
    </w:p>
    <w:p>
      <w:r>
        <w:t>基于目前所提供的极度匮乏且空白的资料，无法对股东是否抽逃出资以及出资合规性作出明确判断。即当前状态下，既不能肯定股东存在抽逃出资行为，也不能排除这种可能性。</w:t>
      </w:r>
    </w:p>
    <w:p>
      <w:pPr>
        <w:pStyle w:val="Heading2"/>
      </w:pPr>
      <w:r>
        <w:t>五、风险提示与建议</w:t>
      </w:r>
    </w:p>
    <w:p>
      <w:pPr>
        <w:pStyle w:val="Heading2"/>
      </w:pPr>
      <w:r>
        <w:t>（一）风险提示</w:t>
      </w:r>
    </w:p>
    <w:p>
      <w:r>
        <w:t>1. **法律风险**：若后续发现存在股东抽逃出资的情况，根据相关法律规定，涉事股东需承担返还抽逃出资、赔偿公司损失等民事责任，同时还可能面临行政处罚甚至刑事责任（视情节严重程度而定）。此外，公司的信誉和正常经营也可能受到负面影响。</w:t>
      </w:r>
      <w:r>
        <w:br/>
        <w:t>2. **经营风险**：因无法确定股东出资的真实性和稳定性，可能会影响公司的战略规划、业务拓展以及与其他合作伙伴的合作信心，进而对公司的长期发展构成潜在威胁。</w:t>
      </w:r>
    </w:p>
    <w:p>
      <w:pPr>
        <w:pStyle w:val="Heading2"/>
      </w:pPr>
      <w:r>
        <w:t>（二）建议</w:t>
      </w:r>
    </w:p>
    <w:p>
      <w:r>
        <w:t>1. **补充资料**：建议委托人尽快提供完整的财务资料，包括但不限于银行流水、关联方清单、验资报告、往来款明细等，以便全面、准确地评估股东出资情况。这些资料将是进一步深入调查和分析的基础，有助于消除当前因信息不足而产生的不确定性。</w:t>
      </w:r>
      <w:r>
        <w:br/>
        <w:t>2. **内部自查自纠**：公司自身应组织专业人员对公司成立以来的资金运作情况进行详细梳理和自查，重点检查涉及股东出资变动的各项交易记录，确保所有操作都符合法律法规和公司章程的要求。如发现问题应及时整改，并主动向监管部门报备相关情况。</w:t>
      </w:r>
      <w:r>
        <w:br/>
        <w:t>3. **建立完善制度**：建立健全公司治理结构和财务管理制度，加强对股东出资行为的监督和管理。例如，制定严格的资金审批流程、定期进行审计等措施，防止类似问题再次发生。同时，加强对员工的培训教育，提高全员的法律意识和合规意识。</w:t>
      </w:r>
    </w:p>
    <w:p>
      <w:pPr>
        <w:pStyle w:val="Heading2"/>
      </w:pPr>
      <w:r>
        <w:t>六、结语</w:t>
      </w:r>
    </w:p>
    <w:p>
      <w:pPr>
        <w:pStyle w:val="Heading1"/>
      </w:pPr>
      <w:r>
        <w:t>综上所述，由于现有资料的限制，目前无法就股东出资合规性给出确切结论。但考虑到潜在的法律风险和经营风险，建议委托人采取积极措施补充资料并进行内部整改。本所将持续关注此事进展，并在获得充分有效信息后适时更新本意见书。</w:t>
      </w:r>
    </w:p>
    <w:p>
      <w:r>
        <w:t>[律师事务所名称]</w:t>
      </w:r>
      <w:r>
        <w:br/>
        <w:t>[律师姓名]</w:t>
      </w:r>
      <w:r>
        <w:br/>
        <w:t>[出具日期]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