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after="160"/>
        <w:jc w:val="center"/>
      </w:pPr>
      <w:r>
        <w:rPr>
          <w:rFonts w:ascii="Arial" w:hAnsi="Arial"/>
          <w:b/>
          <w:color w:val="1F497D"/>
          <w:sz w:val="64"/>
        </w:rPr>
        <w:t>CampusQ</w:t>
      </w:r>
    </w:p>
    <w:p>
      <w:pPr>
        <w:spacing w:after="80"/>
        <w:jc w:val="center"/>
      </w:pPr>
      <w:r>
        <w:rPr>
          <w:rFonts w:ascii="Arial" w:hAnsi="Arial"/>
          <w:color w:val="2E74B5"/>
          <w:sz w:val="36"/>
        </w:rPr>
        <w:t>AI Academic Assistant — Pilot Plan</w:t>
      </w:r>
    </w:p>
    <w:p>
      <w:pPr>
        <w:spacing w:after="80"/>
        <w:jc w:val="center"/>
      </w:pPr>
      <w:r>
        <w:rPr>
          <w:rFonts w:ascii="Arial" w:hAnsi="Arial"/>
          <w:color w:val="606060"/>
          <w:sz w:val="28"/>
        </w:rPr>
        <w:t>Carleton University</w:t>
      </w:r>
    </w:p>
    <w:p>
      <w:pPr>
        <w:jc w:val="center"/>
      </w:pPr>
      <w:r>
        <w:rPr>
          <w:rFonts w:ascii="Arial" w:hAnsi="Arial"/>
          <w:color w:val="909090"/>
          <w:sz w:val="22"/>
        </w:rPr>
        <w:t>June 2026  |  Confidential</w:t>
      </w:r>
    </w:p>
    <w:p>
      <w:r>
        <w:br w:type="page"/>
      </w:r>
    </w:p>
    <w:p>
      <w:pPr>
        <w:spacing w:before="360" w:after="120"/>
      </w:pPr>
      <w:r>
        <w:rPr>
          <w:rFonts w:ascii="Arial" w:hAnsi="Arial"/>
          <w:b/>
          <w:color w:val="1F497D"/>
          <w:sz w:val="36"/>
        </w:rPr>
        <w:t>1. Purpose</w:t>
      </w:r>
    </w:p>
    <w:p>
      <w:pPr>
        <w:spacing w:after="120"/>
      </w:pPr>
      <w:r>
        <w:rPr>
          <w:rFonts w:ascii="Arial" w:hAnsi="Arial"/>
          <w:sz w:val="22"/>
        </w:rPr>
        <w:t>CampusQ is an AI-powered academic assistant trained exclusively on Carleton University's official data — the full undergraduate academic calendar, all 84 programs, every course, and all academic regulations. Students ask questions in plain English and receive accurate, grounded answers instantly, without hunting across the course calendar, registrar site, and advising emails.</w:t>
      </w:r>
    </w:p>
    <w:p>
      <w:pPr>
        <w:spacing w:after="120"/>
      </w:pPr>
      <w:r>
        <w:rPr>
          <w:rFonts w:ascii="Arial" w:hAnsi="Arial"/>
          <w:sz w:val="22"/>
        </w:rPr>
        <w:t>This pilot will validate CampusQ's readiness for broader deployment by testing it with a targeted group of Carleton students over a two-week period beginning in mid-June 2026. Success in the pilot will inform a licensing proposal to Carleton's advising office and inform any product refinements before a full rollout.</w:t>
      </w:r>
    </w:p>
    <w:p>
      <w:pPr>
        <w:spacing w:before="360" w:after="120"/>
      </w:pPr>
      <w:r>
        <w:rPr>
          <w:rFonts w:ascii="Arial" w:hAnsi="Arial"/>
          <w:b/>
          <w:color w:val="1F497D"/>
          <w:sz w:val="36"/>
        </w:rPr>
        <w:t>2. Background</w:t>
      </w:r>
    </w:p>
    <w:p>
      <w:pPr>
        <w:spacing w:after="120"/>
      </w:pPr>
      <w:r>
        <w:rPr>
          <w:rFonts w:ascii="Arial" w:hAnsi="Arial"/>
          <w:sz w:val="22"/>
        </w:rPr>
        <w:t>Academic advising offices spend a significant portion of their time answering repetitive, policy-based questions that could be resolved instantly with the right tool. CampusQ was built to absorb that load — freeing advisors to focus on students who need genuine human guidance.</w:t>
      </w:r>
    </w:p>
    <w:p>
      <w:pPr>
        <w:spacing w:after="120"/>
      </w:pPr>
      <w:r>
        <w:rPr>
          <w:rFonts w:ascii="Arial" w:hAnsi="Arial"/>
          <w:sz w:val="22"/>
        </w:rPr>
        <w:t>Current validation results from internal testing:</w:t>
      </w:r>
    </w:p>
    <w:p>
      <w:pPr>
        <w:pStyle w:val="ListBullet"/>
        <w:spacing w:after="60"/>
      </w:pPr>
      <w:r>
        <w:rPr>
          <w:rFonts w:ascii="Arial" w:hAnsi="Arial"/>
          <w:sz w:val="22"/>
        </w:rPr>
        <w:t>90% accuracy across 65 test questions</w:t>
      </w:r>
    </w:p>
    <w:p>
      <w:pPr>
        <w:pStyle w:val="ListBullet"/>
        <w:spacing w:after="60"/>
      </w:pPr>
      <w:r>
        <w:rPr>
          <w:rFonts w:ascii="Arial" w:hAnsi="Arial"/>
          <w:sz w:val="22"/>
        </w:rPr>
        <w:t>Zero hallucinations — when CampusQ does not know an answer, it says so and points the student to the correct source</w:t>
      </w:r>
    </w:p>
    <w:p>
      <w:pPr>
        <w:pStyle w:val="ListBullet"/>
        <w:spacing w:after="60"/>
      </w:pPr>
      <w:r>
        <w:rPr>
          <w:rFonts w:ascii="Arial" w:hAnsi="Arial"/>
          <w:sz w:val="22"/>
        </w:rPr>
        <w:t>Coverage: prerequisite checking, credit requirements, academic deadlines, program rules</w:t>
      </w:r>
    </w:p>
    <w:p>
      <w:pPr>
        <w:spacing w:after="120"/>
      </w:pPr>
      <w:r>
        <w:rPr>
          <w:rFonts w:ascii="Arial" w:hAnsi="Arial"/>
          <w:sz w:val="22"/>
        </w:rPr>
        <w:t>The pilot is the next step: moving from controlled test questions to real student queries in real conditions.</w:t>
      </w:r>
    </w:p>
    <w:p>
      <w:pPr>
        <w:spacing w:before="360" w:after="120"/>
      </w:pPr>
      <w:r>
        <w:rPr>
          <w:rFonts w:ascii="Arial" w:hAnsi="Arial"/>
          <w:b/>
          <w:color w:val="1F497D"/>
          <w:sz w:val="36"/>
        </w:rPr>
        <w:t>3. Pilot Area</w:t>
      </w:r>
    </w:p>
    <w:p>
      <w:pPr>
        <w:spacing w:after="120"/>
      </w:pPr>
      <w:r>
        <w:rPr>
          <w:rFonts w:ascii="Arial" w:hAnsi="Arial"/>
          <w:b/>
          <w:sz w:val="22"/>
        </w:rPr>
        <w:t xml:space="preserve">Scope: </w:t>
      </w:r>
      <w:r>
        <w:rPr>
          <w:rFonts w:ascii="Arial" w:hAnsi="Arial"/>
          <w:sz w:val="22"/>
        </w:rPr>
      </w:r>
    </w:p>
    <w:p>
      <w:pPr>
        <w:spacing w:after="120"/>
      </w:pPr>
      <w:r>
        <w:rPr>
          <w:rFonts w:ascii="Arial" w:hAnsi="Arial"/>
          <w:sz w:val="22"/>
        </w:rPr>
        <w:t>A selected group of Carleton undergraduate students across multiple programs. Targeting 30–60 participants to provide a meaningful query volume while keeping the pilot manageable.</w:t>
      </w:r>
    </w:p>
    <w:p>
      <w:pPr>
        <w:spacing w:after="120"/>
      </w:pPr>
      <w:r>
        <w:rPr>
          <w:rFonts w:ascii="Arial" w:hAnsi="Arial"/>
          <w:b/>
          <w:sz w:val="22"/>
        </w:rPr>
        <w:t xml:space="preserve">Exclusions: </w:t>
      </w:r>
      <w:r>
        <w:rPr>
          <w:rFonts w:ascii="Arial" w:hAnsi="Arial"/>
          <w:sz w:val="22"/>
        </w:rPr>
      </w:r>
    </w:p>
    <w:p>
      <w:pPr>
        <w:spacing w:after="120"/>
      </w:pPr>
      <w:r>
        <w:rPr>
          <w:rFonts w:ascii="Arial" w:hAnsi="Arial"/>
          <w:sz w:val="22"/>
        </w:rPr>
        <w:t>Graduate students, faculty, and advising staff are not part of this pilot phase. Their needs will be scoped separately.</w:t>
      </w:r>
    </w:p>
    <w:p>
      <w:pPr>
        <w:spacing w:after="120"/>
      </w:pPr>
      <w:r>
        <w:rPr>
          <w:rFonts w:ascii="Arial" w:hAnsi="Arial"/>
          <w:b/>
          <w:sz w:val="22"/>
        </w:rPr>
        <w:t xml:space="preserve">Duration: </w:t>
      </w:r>
      <w:r>
        <w:rPr>
          <w:rFonts w:ascii="Arial" w:hAnsi="Arial"/>
          <w:sz w:val="22"/>
        </w:rPr>
      </w:r>
    </w:p>
    <w:p>
      <w:pPr>
        <w:spacing w:after="120"/>
      </w:pPr>
      <w:r>
        <w:rPr>
          <w:rFonts w:ascii="Arial" w:hAnsi="Arial"/>
          <w:sz w:val="22"/>
        </w:rPr>
        <w:t>Two weeks from launch date (target: mid-June 2026).</w:t>
      </w:r>
    </w:p>
    <w:p>
      <w:pPr>
        <w:spacing w:after="120"/>
      </w:pPr>
      <w:r>
        <w:rPr>
          <w:rFonts w:ascii="Arial" w:hAnsi="Arial"/>
          <w:b/>
          <w:sz w:val="22"/>
        </w:rPr>
        <w:t xml:space="preserve">Access: </w:t>
      </w:r>
      <w:r>
        <w:rPr>
          <w:rFonts w:ascii="Arial" w:hAnsi="Arial"/>
          <w:sz w:val="22"/>
        </w:rPr>
      </w:r>
    </w:p>
    <w:p>
      <w:pPr>
        <w:spacing w:after="120"/>
      </w:pPr>
      <w:r>
        <w:rPr>
          <w:rFonts w:ascii="Arial" w:hAnsi="Arial"/>
          <w:sz w:val="22"/>
        </w:rPr>
        <w:t>Students access CampusQ via a web interface (link shared directly). No app install required.</w:t>
      </w:r>
    </w:p>
    <w:p>
      <w:pPr>
        <w:spacing w:before="360" w:after="120"/>
      </w:pPr>
      <w:r>
        <w:rPr>
          <w:rFonts w:ascii="Arial" w:hAnsi="Arial"/>
          <w:b/>
          <w:color w:val="1F497D"/>
          <w:sz w:val="36"/>
        </w:rPr>
        <w:t>4. Goals &amp; Success Criteria</w:t>
      </w:r>
    </w:p>
    <w:p>
      <w:pPr>
        <w:spacing w:before="280" w:after="80"/>
      </w:pPr>
      <w:r>
        <w:rPr>
          <w:rFonts w:ascii="Arial" w:hAnsi="Arial"/>
          <w:b/>
          <w:color w:val="2E74B5"/>
          <w:sz w:val="26"/>
        </w:rPr>
        <w:t>Primary Goals</w:t>
      </w:r>
    </w:p>
    <w:p>
      <w:pPr>
        <w:pStyle w:val="ListBullet"/>
        <w:spacing w:after="60"/>
      </w:pPr>
      <w:r>
        <w:rPr>
          <w:rFonts w:ascii="Arial" w:hAnsi="Arial"/>
          <w:sz w:val="22"/>
        </w:rPr>
        <w:t>Maintain ≥85% answer accuracy on real student questions (vs. 90% on curated test set)</w:t>
      </w:r>
    </w:p>
    <w:p>
      <w:pPr>
        <w:pStyle w:val="ListBullet"/>
        <w:spacing w:after="60"/>
      </w:pPr>
      <w:r>
        <w:rPr>
          <w:rFonts w:ascii="Arial" w:hAnsi="Arial"/>
          <w:sz w:val="22"/>
        </w:rPr>
        <w:t>Zero confirmed hallucinations — any uncertain answer must include a source referral</w:t>
      </w:r>
    </w:p>
    <w:p>
      <w:pPr>
        <w:pStyle w:val="ListBullet"/>
        <w:spacing w:after="60"/>
      </w:pPr>
      <w:r>
        <w:rPr>
          <w:rFonts w:ascii="Arial" w:hAnsi="Arial"/>
          <w:sz w:val="22"/>
        </w:rPr>
        <w:t>Collect ≥50 student queries for analysis</w:t>
      </w:r>
    </w:p>
    <w:p>
      <w:pPr>
        <w:spacing w:before="280" w:after="80"/>
      </w:pPr>
      <w:r>
        <w:rPr>
          <w:rFonts w:ascii="Arial" w:hAnsi="Arial"/>
          <w:b/>
          <w:color w:val="2E74B5"/>
          <w:sz w:val="26"/>
        </w:rPr>
        <w:t>Secondary Goals</w:t>
      </w:r>
    </w:p>
    <w:p>
      <w:pPr>
        <w:pStyle w:val="ListBullet"/>
        <w:spacing w:after="60"/>
      </w:pPr>
      <w:r>
        <w:rPr>
          <w:rFonts w:ascii="Arial" w:hAnsi="Arial"/>
          <w:sz w:val="22"/>
        </w:rPr>
        <w:t>Identify query types or edge cases not covered by current training data</w:t>
      </w:r>
    </w:p>
    <w:p>
      <w:pPr>
        <w:pStyle w:val="ListBullet"/>
        <w:spacing w:after="60"/>
      </w:pPr>
      <w:r>
        <w:rPr>
          <w:rFonts w:ascii="Arial" w:hAnsi="Arial"/>
          <w:sz w:val="22"/>
        </w:rPr>
        <w:t>Gather qualitative feedback on usability and trust</w:t>
      </w:r>
    </w:p>
    <w:p>
      <w:pPr>
        <w:pStyle w:val="ListBullet"/>
        <w:spacing w:after="60"/>
      </w:pPr>
      <w:r>
        <w:rPr>
          <w:rFonts w:ascii="Arial" w:hAnsi="Arial"/>
          <w:sz w:val="22"/>
        </w:rPr>
        <w:t>Validate that the "I don't know" fallback behaviour works correctly in production</w:t>
      </w:r>
    </w:p>
    <w:p>
      <w:pPr>
        <w:spacing w:before="280" w:after="80"/>
      </w:pPr>
      <w:r>
        <w:rPr>
          <w:rFonts w:ascii="Arial" w:hAnsi="Arial"/>
          <w:b/>
          <w:color w:val="2E74B5"/>
          <w:sz w:val="26"/>
        </w:rPr>
        <w:t>Success Metrics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F497D"/>
          </w:tcPr>
          <w:p>
            <w:r>
              <w:rPr>
                <w:rFonts w:ascii="Arial" w:hAnsi="Arial"/>
                <w:b/>
                <w:color w:val="FFFFFF"/>
                <w:sz w:val="20"/>
              </w:rPr>
              <w:t>Metric</w:t>
            </w:r>
          </w:p>
        </w:tc>
        <w:tc>
          <w:tcPr>
            <w:tcW w:type="dxa" w:w="3120"/>
            <w:shd w:val="clear" w:color="auto" w:fill="1F497D"/>
          </w:tcPr>
          <w:p>
            <w:r>
              <w:rPr>
                <w:rFonts w:ascii="Arial" w:hAnsi="Arial"/>
                <w:b/>
                <w:color w:val="FFFFFF"/>
                <w:sz w:val="20"/>
              </w:rPr>
              <w:t>Target</w:t>
            </w:r>
          </w:p>
        </w:tc>
        <w:tc>
          <w:tcPr>
            <w:tcW w:type="dxa" w:w="3120"/>
            <w:shd w:val="clear" w:color="auto" w:fill="1F497D"/>
          </w:tcPr>
          <w:p>
            <w:r>
              <w:rPr>
                <w:rFonts w:ascii="Arial" w:hAnsi="Arial"/>
                <w:b/>
                <w:color w:val="FFFFFF"/>
                <w:sz w:val="20"/>
              </w:rPr>
              <w:t>Measurement Method</w:t>
            </w:r>
          </w:p>
        </w:tc>
      </w:tr>
      <w:tr>
        <w:tc>
          <w:tcPr>
            <w:tcW w:type="dxa" w:w="3120"/>
          </w:tcPr>
          <w:p>
            <w:r>
              <w:rPr>
                <w:rFonts w:ascii="Arial" w:hAnsi="Arial"/>
                <w:sz w:val="20"/>
              </w:rPr>
              <w:t>Answer accuracy</w:t>
            </w:r>
          </w:p>
        </w:tc>
        <w:tc>
          <w:tcPr>
            <w:tcW w:type="dxa" w:w="3120"/>
          </w:tcPr>
          <w:p>
            <w:r>
              <w:rPr>
                <w:rFonts w:ascii="Arial" w:hAnsi="Arial"/>
                <w:sz w:val="20"/>
              </w:rPr>
              <w:t>≥85%</w:t>
            </w:r>
          </w:p>
        </w:tc>
        <w:tc>
          <w:tcPr>
            <w:tcW w:type="dxa" w:w="3120"/>
          </w:tcPr>
          <w:p>
            <w:r>
              <w:rPr>
                <w:rFonts w:ascii="Arial" w:hAnsi="Arial"/>
                <w:sz w:val="20"/>
              </w:rPr>
              <w:t>Manual review of logged Q&amp;A pairs</w:t>
            </w:r>
          </w:p>
        </w:tc>
      </w:tr>
      <w:tr>
        <w:tc>
          <w:tcPr>
            <w:tcW w:type="dxa" w:w="3120"/>
          </w:tcPr>
          <w:p>
            <w:r>
              <w:rPr>
                <w:rFonts w:ascii="Arial" w:hAnsi="Arial"/>
                <w:sz w:val="20"/>
              </w:rPr>
              <w:t>Hallucination rate</w:t>
            </w:r>
          </w:p>
        </w:tc>
        <w:tc>
          <w:tcPr>
            <w:tcW w:type="dxa" w:w="3120"/>
          </w:tcPr>
          <w:p>
            <w:r>
              <w:rPr>
                <w:rFonts w:ascii="Arial" w:hAnsi="Arial"/>
                <w:sz w:val="20"/>
              </w:rPr>
              <w:t>0%</w:t>
            </w:r>
          </w:p>
        </w:tc>
        <w:tc>
          <w:tcPr>
            <w:tcW w:type="dxa" w:w="3120"/>
          </w:tcPr>
          <w:p>
            <w:r>
              <w:rPr>
                <w:rFonts w:ascii="Arial" w:hAnsi="Arial"/>
                <w:sz w:val="20"/>
              </w:rPr>
              <w:t>Reviewer flag on any invented fact</w:t>
            </w:r>
          </w:p>
        </w:tc>
      </w:tr>
      <w:tr>
        <w:tc>
          <w:tcPr>
            <w:tcW w:type="dxa" w:w="3120"/>
          </w:tcPr>
          <w:p>
            <w:r>
              <w:rPr>
                <w:rFonts w:ascii="Arial" w:hAnsi="Arial"/>
                <w:sz w:val="20"/>
              </w:rPr>
              <w:t>Query volume</w:t>
            </w:r>
          </w:p>
        </w:tc>
        <w:tc>
          <w:tcPr>
            <w:tcW w:type="dxa" w:w="3120"/>
          </w:tcPr>
          <w:p>
            <w:r>
              <w:rPr>
                <w:rFonts w:ascii="Arial" w:hAnsi="Arial"/>
                <w:sz w:val="20"/>
              </w:rPr>
              <w:t>≥50 queries</w:t>
            </w:r>
          </w:p>
        </w:tc>
        <w:tc>
          <w:tcPr>
            <w:tcW w:type="dxa" w:w="3120"/>
          </w:tcPr>
          <w:p>
            <w:r>
              <w:rPr>
                <w:rFonts w:ascii="Arial" w:hAnsi="Arial"/>
                <w:sz w:val="20"/>
              </w:rPr>
              <w:t>System logs</w:t>
            </w:r>
          </w:p>
        </w:tc>
      </w:tr>
      <w:tr>
        <w:tc>
          <w:tcPr>
            <w:tcW w:type="dxa" w:w="3120"/>
          </w:tcPr>
          <w:p>
            <w:r>
              <w:rPr>
                <w:rFonts w:ascii="Arial" w:hAnsi="Arial"/>
                <w:sz w:val="20"/>
              </w:rPr>
              <w:t>Student satisfaction</w:t>
            </w:r>
          </w:p>
        </w:tc>
        <w:tc>
          <w:tcPr>
            <w:tcW w:type="dxa" w:w="3120"/>
          </w:tcPr>
          <w:p>
            <w:r>
              <w:rPr>
                <w:rFonts w:ascii="Arial" w:hAnsi="Arial"/>
                <w:sz w:val="20"/>
              </w:rPr>
              <w:t>≥4/5 avg rating</w:t>
            </w:r>
          </w:p>
        </w:tc>
        <w:tc>
          <w:tcPr>
            <w:tcW w:type="dxa" w:w="3120"/>
          </w:tcPr>
          <w:p>
            <w:r>
              <w:rPr>
                <w:rFonts w:ascii="Arial" w:hAnsi="Arial"/>
                <w:sz w:val="20"/>
              </w:rPr>
              <w:t>End-of-pilot survey</w:t>
            </w:r>
          </w:p>
        </w:tc>
      </w:tr>
      <w:tr>
        <w:tc>
          <w:tcPr>
            <w:tcW w:type="dxa" w:w="3120"/>
          </w:tcPr>
          <w:p>
            <w:r>
              <w:rPr>
                <w:rFonts w:ascii="Arial" w:hAnsi="Arial"/>
                <w:sz w:val="20"/>
              </w:rPr>
              <w:t>Source referral rate</w:t>
            </w:r>
          </w:p>
        </w:tc>
        <w:tc>
          <w:tcPr>
            <w:tcW w:type="dxa" w:w="3120"/>
          </w:tcPr>
          <w:p>
            <w:r>
              <w:rPr>
                <w:rFonts w:ascii="Arial" w:hAnsi="Arial"/>
                <w:sz w:val="20"/>
              </w:rPr>
              <w:t>100% on unknown Qs</w:t>
            </w:r>
          </w:p>
        </w:tc>
        <w:tc>
          <w:tcPr>
            <w:tcW w:type="dxa" w:w="3120"/>
          </w:tcPr>
          <w:p>
            <w:r>
              <w:rPr>
                <w:rFonts w:ascii="Arial" w:hAnsi="Arial"/>
                <w:sz w:val="20"/>
              </w:rPr>
              <w:t>Log review</w:t>
            </w:r>
          </w:p>
        </w:tc>
      </w:tr>
    </w:tbl>
    <w:p/>
    <w:p>
      <w:pPr>
        <w:spacing w:before="360" w:after="120"/>
      </w:pPr>
      <w:r>
        <w:rPr>
          <w:rFonts w:ascii="Arial" w:hAnsi="Arial"/>
          <w:b/>
          <w:color w:val="1F497D"/>
          <w:sz w:val="36"/>
        </w:rPr>
        <w:t>5. Resources Required</w:t>
      </w:r>
    </w:p>
    <w:p>
      <w:pPr>
        <w:pStyle w:val="ListBullet"/>
        <w:spacing w:after="60"/>
      </w:pPr>
      <w:r>
        <w:rPr>
          <w:rFonts w:ascii="Arial" w:hAnsi="Arial"/>
          <w:sz w:val="22"/>
        </w:rPr>
        <w:t>CampusQ web interface deployed and accessible via shareable URL</w:t>
      </w:r>
    </w:p>
    <w:p>
      <w:pPr>
        <w:pStyle w:val="ListBullet"/>
        <w:spacing w:after="60"/>
      </w:pPr>
      <w:r>
        <w:rPr>
          <w:rFonts w:ascii="Arial" w:hAnsi="Arial"/>
          <w:sz w:val="22"/>
        </w:rPr>
        <w:t>Query logging enabled (question text, answer text, timestamp, session ID)</w:t>
      </w:r>
    </w:p>
    <w:p>
      <w:pPr>
        <w:pStyle w:val="ListBullet"/>
        <w:spacing w:after="60"/>
      </w:pPr>
      <w:r>
        <w:rPr>
          <w:rFonts w:ascii="Arial" w:hAnsi="Arial"/>
          <w:sz w:val="22"/>
        </w:rPr>
        <w:t>Answer review capacity: ~2 hours/week to manually spot-check query logs</w:t>
      </w:r>
    </w:p>
    <w:p>
      <w:pPr>
        <w:pStyle w:val="ListBullet"/>
        <w:spacing w:after="60"/>
      </w:pPr>
      <w:r>
        <w:rPr>
          <w:rFonts w:ascii="Arial" w:hAnsi="Arial"/>
          <w:sz w:val="22"/>
        </w:rPr>
        <w:t>End-of-pilot survey (5–8 questions, Google Form or equivalent)</w:t>
      </w:r>
    </w:p>
    <w:p>
      <w:pPr>
        <w:pStyle w:val="ListBullet"/>
        <w:spacing w:after="60"/>
      </w:pPr>
      <w:r>
        <w:rPr>
          <w:rFonts w:ascii="Arial" w:hAnsi="Arial"/>
          <w:sz w:val="22"/>
        </w:rPr>
        <w:t>Participant recruitment: outreach via student email list, Discord, or Carleton social channels</w:t>
      </w:r>
    </w:p>
    <w:p>
      <w:pPr>
        <w:spacing w:before="360" w:after="120"/>
      </w:pPr>
      <w:r>
        <w:rPr>
          <w:rFonts w:ascii="Arial" w:hAnsi="Arial"/>
          <w:b/>
          <w:color w:val="1F497D"/>
          <w:sz w:val="36"/>
        </w:rPr>
        <w:t>6. Participant Onboarding</w:t>
      </w:r>
    </w:p>
    <w:p>
      <w:pPr>
        <w:spacing w:after="120"/>
      </w:pPr>
      <w:r>
        <w:rPr>
          <w:rFonts w:ascii="Arial" w:hAnsi="Arial"/>
          <w:sz w:val="22"/>
        </w:rPr>
        <w:t>Students require no formal training to use CampusQ. Onboarding consists of:</w:t>
      </w:r>
    </w:p>
    <w:p>
      <w:pPr>
        <w:pStyle w:val="ListBullet"/>
        <w:spacing w:after="60"/>
      </w:pPr>
      <w:r>
        <w:rPr>
          <w:rFonts w:ascii="Arial" w:hAnsi="Arial"/>
          <w:sz w:val="22"/>
        </w:rPr>
        <w:t>A one-page brief explaining what CampusQ is, what it can and cannot do, and how to provide feedback</w:t>
      </w:r>
    </w:p>
    <w:p>
      <w:pPr>
        <w:pStyle w:val="ListBullet"/>
        <w:spacing w:after="60"/>
      </w:pPr>
      <w:r>
        <w:rPr>
          <w:rFonts w:ascii="Arial" w:hAnsi="Arial"/>
          <w:sz w:val="22"/>
        </w:rPr>
        <w:t>A clear disclosure that CampusQ is an AI tool in a pilot phase and that important decisions should be confirmed with an official source or advisor</w:t>
      </w:r>
    </w:p>
    <w:p>
      <w:pPr>
        <w:pStyle w:val="ListBullet"/>
        <w:spacing w:after="60"/>
      </w:pPr>
      <w:r>
        <w:rPr>
          <w:rFonts w:ascii="Arial" w:hAnsi="Arial"/>
          <w:sz w:val="22"/>
        </w:rPr>
        <w:t>A simple feedback mechanism on each answer (thumbs up/down + optional comment)</w:t>
      </w:r>
    </w:p>
    <w:p>
      <w:pPr>
        <w:spacing w:before="360" w:after="120"/>
      </w:pPr>
      <w:r>
        <w:rPr>
          <w:rFonts w:ascii="Arial" w:hAnsi="Arial"/>
          <w:b/>
          <w:color w:val="1F497D"/>
          <w:sz w:val="36"/>
        </w:rPr>
        <w:t>7. Feedback Loop</w:t>
      </w:r>
    </w:p>
    <w:p>
      <w:pPr>
        <w:spacing w:after="120"/>
      </w:pPr>
      <w:r>
        <w:rPr>
          <w:rFonts w:ascii="Arial" w:hAnsi="Arial"/>
          <w:sz w:val="22"/>
        </w:rPr>
        <w:t>Daily during the pilot, the following will be reviewed:</w:t>
      </w:r>
    </w:p>
    <w:p>
      <w:pPr>
        <w:pStyle w:val="ListBullet"/>
        <w:spacing w:after="60"/>
      </w:pPr>
      <w:r>
        <w:rPr>
          <w:rFonts w:ascii="Arial" w:hAnsi="Arial"/>
          <w:sz w:val="22"/>
        </w:rPr>
        <w:t>New query volume and any flagged answers</w:t>
      </w:r>
    </w:p>
    <w:p>
      <w:pPr>
        <w:pStyle w:val="ListBullet"/>
        <w:spacing w:after="60"/>
      </w:pPr>
      <w:r>
        <w:rPr>
          <w:rFonts w:ascii="Arial" w:hAnsi="Arial"/>
          <w:sz w:val="22"/>
        </w:rPr>
        <w:t>Any student-reported issues or confusing responses</w:t>
      </w:r>
    </w:p>
    <w:p>
      <w:pPr>
        <w:pStyle w:val="ListBullet"/>
        <w:spacing w:after="60"/>
      </w:pPr>
      <w:r>
        <w:rPr>
          <w:rFonts w:ascii="Arial" w:hAnsi="Arial"/>
          <w:sz w:val="22"/>
        </w:rPr>
        <w:t>Thumbs-down flags and associated queries</w:t>
      </w:r>
    </w:p>
    <w:p>
      <w:pPr>
        <w:spacing w:after="120"/>
      </w:pPr>
      <w:r>
        <w:rPr>
          <w:rFonts w:ascii="Arial" w:hAnsi="Arial"/>
          <w:sz w:val="22"/>
        </w:rPr>
        <w:t>A brief weekly summary will be compiled after each of the two pilot weeks, noting top query categories, accuracy observations, and any issues requiring immediate action.</w:t>
      </w:r>
    </w:p>
    <w:p>
      <w:pPr>
        <w:spacing w:before="360" w:after="120"/>
      </w:pPr>
      <w:r>
        <w:rPr>
          <w:rFonts w:ascii="Arial" w:hAnsi="Arial"/>
          <w:b/>
          <w:color w:val="1F497D"/>
          <w:sz w:val="36"/>
        </w:rPr>
        <w:t>8. Communication Plan</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F497D"/>
          </w:tcPr>
          <w:p>
            <w:r>
              <w:rPr>
                <w:rFonts w:ascii="Arial" w:hAnsi="Arial"/>
                <w:b/>
                <w:color w:val="FFFFFF"/>
                <w:sz w:val="20"/>
              </w:rPr>
              <w:t>Audience</w:t>
            </w:r>
          </w:p>
        </w:tc>
        <w:tc>
          <w:tcPr>
            <w:tcW w:type="dxa" w:w="3120"/>
            <w:shd w:val="clear" w:color="auto" w:fill="1F497D"/>
          </w:tcPr>
          <w:p>
            <w:r>
              <w:rPr>
                <w:rFonts w:ascii="Arial" w:hAnsi="Arial"/>
                <w:b/>
                <w:color w:val="FFFFFF"/>
                <w:sz w:val="20"/>
              </w:rPr>
              <w:t>Message</w:t>
            </w:r>
          </w:p>
        </w:tc>
        <w:tc>
          <w:tcPr>
            <w:tcW w:type="dxa" w:w="3120"/>
            <w:shd w:val="clear" w:color="auto" w:fill="1F497D"/>
          </w:tcPr>
          <w:p>
            <w:r>
              <w:rPr>
                <w:rFonts w:ascii="Arial" w:hAnsi="Arial"/>
                <w:b/>
                <w:color w:val="FFFFFF"/>
                <w:sz w:val="20"/>
              </w:rPr>
              <w:t>Channel</w:t>
            </w:r>
          </w:p>
        </w:tc>
      </w:tr>
      <w:tr>
        <w:tc>
          <w:tcPr>
            <w:tcW w:type="dxa" w:w="3120"/>
          </w:tcPr>
          <w:p>
            <w:r>
              <w:rPr>
                <w:rFonts w:ascii="Arial" w:hAnsi="Arial"/>
                <w:sz w:val="20"/>
              </w:rPr>
              <w:t>Pilot participants</w:t>
            </w:r>
          </w:p>
        </w:tc>
        <w:tc>
          <w:tcPr>
            <w:tcW w:type="dxa" w:w="3120"/>
          </w:tcPr>
          <w:p>
            <w:r>
              <w:rPr>
                <w:rFonts w:ascii="Arial" w:hAnsi="Arial"/>
                <w:sz w:val="20"/>
              </w:rPr>
              <w:t>Invitation, onboarding brief, feedback survey</w:t>
            </w:r>
          </w:p>
        </w:tc>
        <w:tc>
          <w:tcPr>
            <w:tcW w:type="dxa" w:w="3120"/>
          </w:tcPr>
          <w:p>
            <w:r>
              <w:rPr>
                <w:rFonts w:ascii="Arial" w:hAnsi="Arial"/>
                <w:sz w:val="20"/>
              </w:rPr>
              <w:t>Email + direct link</w:t>
            </w:r>
          </w:p>
        </w:tc>
      </w:tr>
      <w:tr>
        <w:tc>
          <w:tcPr>
            <w:tcW w:type="dxa" w:w="3120"/>
          </w:tcPr>
          <w:p>
            <w:r>
              <w:rPr>
                <w:rFonts w:ascii="Arial" w:hAnsi="Arial"/>
                <w:sz w:val="20"/>
              </w:rPr>
              <w:t>Broader student body</w:t>
            </w:r>
          </w:p>
        </w:tc>
        <w:tc>
          <w:tcPr>
            <w:tcW w:type="dxa" w:w="3120"/>
          </w:tcPr>
          <w:p>
            <w:r>
              <w:rPr>
                <w:rFonts w:ascii="Arial" w:hAnsi="Arial"/>
                <w:sz w:val="20"/>
              </w:rPr>
              <w:t>No announcement — pilot is invite-only</w:t>
            </w:r>
          </w:p>
        </w:tc>
        <w:tc>
          <w:tcPr>
            <w:tcW w:type="dxa" w:w="3120"/>
          </w:tcPr>
          <w:p>
            <w:r>
              <w:rPr>
                <w:rFonts w:ascii="Arial" w:hAnsi="Arial"/>
                <w:sz w:val="20"/>
              </w:rPr>
              <w:t>N/A</w:t>
            </w:r>
          </w:p>
        </w:tc>
      </w:tr>
      <w:tr>
        <w:tc>
          <w:tcPr>
            <w:tcW w:type="dxa" w:w="3120"/>
          </w:tcPr>
          <w:p>
            <w:r>
              <w:rPr>
                <w:rFonts w:ascii="Arial" w:hAnsi="Arial"/>
                <w:sz w:val="20"/>
              </w:rPr>
              <w:t>Carleton advising office (future)</w:t>
            </w:r>
          </w:p>
        </w:tc>
        <w:tc>
          <w:tcPr>
            <w:tcW w:type="dxa" w:w="3120"/>
          </w:tcPr>
          <w:p>
            <w:r>
              <w:rPr>
                <w:rFonts w:ascii="Arial" w:hAnsi="Arial"/>
                <w:sz w:val="20"/>
              </w:rPr>
              <w:t>Pilot results summary after completion</w:t>
            </w:r>
          </w:p>
        </w:tc>
        <w:tc>
          <w:tcPr>
            <w:tcW w:type="dxa" w:w="3120"/>
          </w:tcPr>
          <w:p>
            <w:r>
              <w:rPr>
                <w:rFonts w:ascii="Arial" w:hAnsi="Arial"/>
                <w:sz w:val="20"/>
              </w:rPr>
              <w:t>Formal report / meeting</w:t>
            </w:r>
          </w:p>
        </w:tc>
      </w:tr>
    </w:tbl>
    <w:p/>
    <w:p>
      <w:pPr>
        <w:spacing w:before="360" w:after="120"/>
      </w:pPr>
      <w:r>
        <w:rPr>
          <w:rFonts w:ascii="Arial" w:hAnsi="Arial"/>
          <w:b/>
          <w:color w:val="1F497D"/>
          <w:sz w:val="36"/>
        </w:rPr>
        <w:t>9. Timeline</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F497D"/>
          </w:tcPr>
          <w:p>
            <w:r>
              <w:rPr>
                <w:rFonts w:ascii="Arial" w:hAnsi="Arial"/>
                <w:b/>
                <w:color w:val="FFFFFF"/>
                <w:sz w:val="20"/>
              </w:rPr>
              <w:t>Phase</w:t>
            </w:r>
          </w:p>
        </w:tc>
        <w:tc>
          <w:tcPr>
            <w:tcW w:type="dxa" w:w="3120"/>
            <w:shd w:val="clear" w:color="auto" w:fill="1F497D"/>
          </w:tcPr>
          <w:p>
            <w:r>
              <w:rPr>
                <w:rFonts w:ascii="Arial" w:hAnsi="Arial"/>
                <w:b/>
                <w:color w:val="FFFFFF"/>
                <w:sz w:val="20"/>
              </w:rPr>
              <w:t>Dates</w:t>
            </w:r>
          </w:p>
        </w:tc>
        <w:tc>
          <w:tcPr>
            <w:tcW w:type="dxa" w:w="3120"/>
            <w:shd w:val="clear" w:color="auto" w:fill="1F497D"/>
          </w:tcPr>
          <w:p>
            <w:r>
              <w:rPr>
                <w:rFonts w:ascii="Arial" w:hAnsi="Arial"/>
                <w:b/>
                <w:color w:val="FFFFFF"/>
                <w:sz w:val="20"/>
              </w:rPr>
              <w:t>Key Activities</w:t>
            </w:r>
          </w:p>
        </w:tc>
      </w:tr>
      <w:tr>
        <w:tc>
          <w:tcPr>
            <w:tcW w:type="dxa" w:w="3120"/>
          </w:tcPr>
          <w:p>
            <w:r>
              <w:rPr>
                <w:rFonts w:ascii="Arial" w:hAnsi="Arial"/>
                <w:sz w:val="20"/>
              </w:rPr>
              <w:t>Preparation</w:t>
            </w:r>
          </w:p>
        </w:tc>
        <w:tc>
          <w:tcPr>
            <w:tcW w:type="dxa" w:w="3120"/>
          </w:tcPr>
          <w:p>
            <w:r>
              <w:rPr>
                <w:rFonts w:ascii="Arial" w:hAnsi="Arial"/>
                <w:sz w:val="20"/>
              </w:rPr>
              <w:t>June 1–13, 2026</w:t>
            </w:r>
          </w:p>
        </w:tc>
        <w:tc>
          <w:tcPr>
            <w:tcW w:type="dxa" w:w="3120"/>
          </w:tcPr>
          <w:p>
            <w:r>
              <w:rPr>
                <w:rFonts w:ascii="Arial" w:hAnsi="Arial"/>
                <w:sz w:val="20"/>
              </w:rPr>
              <w:t>Finalize web interface, enable logging, recruit participants, draft onboarding brief</w:t>
            </w:r>
          </w:p>
        </w:tc>
      </w:tr>
      <w:tr>
        <w:tc>
          <w:tcPr>
            <w:tcW w:type="dxa" w:w="3120"/>
          </w:tcPr>
          <w:p>
            <w:r>
              <w:rPr>
                <w:rFonts w:ascii="Arial" w:hAnsi="Arial"/>
                <w:sz w:val="20"/>
              </w:rPr>
              <w:t>Pilot Live — Week 1</w:t>
            </w:r>
          </w:p>
        </w:tc>
        <w:tc>
          <w:tcPr>
            <w:tcW w:type="dxa" w:w="3120"/>
          </w:tcPr>
          <w:p>
            <w:r>
              <w:rPr>
                <w:rFonts w:ascii="Arial" w:hAnsi="Arial"/>
                <w:sz w:val="20"/>
              </w:rPr>
              <w:t>June 16–20, 2026</w:t>
            </w:r>
          </w:p>
        </w:tc>
        <w:tc>
          <w:tcPr>
            <w:tcW w:type="dxa" w:w="3120"/>
          </w:tcPr>
          <w:p>
            <w:r>
              <w:rPr>
                <w:rFonts w:ascii="Arial" w:hAnsi="Arial"/>
                <w:sz w:val="20"/>
              </w:rPr>
              <w:t>Students active, daily log review, flag issues</w:t>
            </w:r>
          </w:p>
        </w:tc>
      </w:tr>
      <w:tr>
        <w:tc>
          <w:tcPr>
            <w:tcW w:type="dxa" w:w="3120"/>
          </w:tcPr>
          <w:p>
            <w:r>
              <w:rPr>
                <w:rFonts w:ascii="Arial" w:hAnsi="Arial"/>
                <w:sz w:val="20"/>
              </w:rPr>
              <w:t>Pilot Live — Week 2</w:t>
            </w:r>
          </w:p>
        </w:tc>
        <w:tc>
          <w:tcPr>
            <w:tcW w:type="dxa" w:w="3120"/>
          </w:tcPr>
          <w:p>
            <w:r>
              <w:rPr>
                <w:rFonts w:ascii="Arial" w:hAnsi="Arial"/>
                <w:sz w:val="20"/>
              </w:rPr>
              <w:t>June 23–27, 2026</w:t>
            </w:r>
          </w:p>
        </w:tc>
        <w:tc>
          <w:tcPr>
            <w:tcW w:type="dxa" w:w="3120"/>
          </w:tcPr>
          <w:p>
            <w:r>
              <w:rPr>
                <w:rFonts w:ascii="Arial" w:hAnsi="Arial"/>
                <w:sz w:val="20"/>
              </w:rPr>
              <w:t>Continued use, collect feedback, monitor accuracy</w:t>
            </w:r>
          </w:p>
        </w:tc>
      </w:tr>
      <w:tr>
        <w:tc>
          <w:tcPr>
            <w:tcW w:type="dxa" w:w="3120"/>
          </w:tcPr>
          <w:p>
            <w:r>
              <w:rPr>
                <w:rFonts w:ascii="Arial" w:hAnsi="Arial"/>
                <w:sz w:val="20"/>
              </w:rPr>
              <w:t>Assessment</w:t>
            </w:r>
          </w:p>
        </w:tc>
        <w:tc>
          <w:tcPr>
            <w:tcW w:type="dxa" w:w="3120"/>
          </w:tcPr>
          <w:p>
            <w:r>
              <w:rPr>
                <w:rFonts w:ascii="Arial" w:hAnsi="Arial"/>
                <w:sz w:val="20"/>
              </w:rPr>
              <w:t>June 30 – July 4, 2026</w:t>
            </w:r>
          </w:p>
        </w:tc>
        <w:tc>
          <w:tcPr>
            <w:tcW w:type="dxa" w:w="3120"/>
          </w:tcPr>
          <w:p>
            <w:r>
              <w:rPr>
                <w:rFonts w:ascii="Arial" w:hAnsi="Arial"/>
                <w:sz w:val="20"/>
              </w:rPr>
              <w:t>Compile query logs, run accuracy review, analyze survey responses</w:t>
            </w:r>
          </w:p>
        </w:tc>
      </w:tr>
      <w:tr>
        <w:tc>
          <w:tcPr>
            <w:tcW w:type="dxa" w:w="3120"/>
          </w:tcPr>
          <w:p>
            <w:r>
              <w:rPr>
                <w:rFonts w:ascii="Arial" w:hAnsi="Arial"/>
                <w:sz w:val="20"/>
              </w:rPr>
              <w:t>Report &amp; Decision</w:t>
            </w:r>
          </w:p>
        </w:tc>
        <w:tc>
          <w:tcPr>
            <w:tcW w:type="dxa" w:w="3120"/>
          </w:tcPr>
          <w:p>
            <w:r>
              <w:rPr>
                <w:rFonts w:ascii="Arial" w:hAnsi="Arial"/>
                <w:sz w:val="20"/>
              </w:rPr>
              <w:t>July 7, 2026</w:t>
            </w:r>
          </w:p>
        </w:tc>
        <w:tc>
          <w:tcPr>
            <w:tcW w:type="dxa" w:w="3120"/>
          </w:tcPr>
          <w:p>
            <w:r>
              <w:rPr>
                <w:rFonts w:ascii="Arial" w:hAnsi="Arial"/>
                <w:sz w:val="20"/>
              </w:rPr>
              <w:t>Share pilot results, decide on full rollout or iteration</w:t>
            </w:r>
          </w:p>
        </w:tc>
      </w:tr>
    </w:tbl>
    <w:p/>
    <w:p>
      <w:pPr>
        <w:spacing w:before="360" w:after="120"/>
      </w:pPr>
      <w:r>
        <w:rPr>
          <w:rFonts w:ascii="Arial" w:hAnsi="Arial"/>
          <w:b/>
          <w:color w:val="1F497D"/>
          <w:sz w:val="36"/>
        </w:rPr>
        <w:t>10. Risk Management</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F497D"/>
          </w:tcPr>
          <w:p>
            <w:r>
              <w:rPr>
                <w:rFonts w:ascii="Arial" w:hAnsi="Arial"/>
                <w:b/>
                <w:color w:val="FFFFFF"/>
                <w:sz w:val="20"/>
              </w:rPr>
              <w:t>Risk</w:t>
            </w:r>
          </w:p>
        </w:tc>
        <w:tc>
          <w:tcPr>
            <w:tcW w:type="dxa" w:w="3120"/>
            <w:shd w:val="clear" w:color="auto" w:fill="1F497D"/>
          </w:tcPr>
          <w:p>
            <w:r>
              <w:rPr>
                <w:rFonts w:ascii="Arial" w:hAnsi="Arial"/>
                <w:b/>
                <w:color w:val="FFFFFF"/>
                <w:sz w:val="20"/>
              </w:rPr>
              <w:t>Likelihood</w:t>
            </w:r>
          </w:p>
        </w:tc>
        <w:tc>
          <w:tcPr>
            <w:tcW w:type="dxa" w:w="3120"/>
            <w:shd w:val="clear" w:color="auto" w:fill="1F497D"/>
          </w:tcPr>
          <w:p>
            <w:r>
              <w:rPr>
                <w:rFonts w:ascii="Arial" w:hAnsi="Arial"/>
                <w:b/>
                <w:color w:val="FFFFFF"/>
                <w:sz w:val="20"/>
              </w:rPr>
              <w:t>Mitigation</w:t>
            </w:r>
          </w:p>
        </w:tc>
      </w:tr>
      <w:tr>
        <w:tc>
          <w:tcPr>
            <w:tcW w:type="dxa" w:w="3120"/>
          </w:tcPr>
          <w:p>
            <w:r>
              <w:rPr>
                <w:rFonts w:ascii="Arial" w:hAnsi="Arial"/>
                <w:sz w:val="20"/>
              </w:rPr>
              <w:t>Inaccurate answer on a high-stakes query (e.g., graduation requirement)</w:t>
            </w:r>
          </w:p>
        </w:tc>
        <w:tc>
          <w:tcPr>
            <w:tcW w:type="dxa" w:w="3120"/>
          </w:tcPr>
          <w:p>
            <w:r>
              <w:rPr>
                <w:rFonts w:ascii="Arial" w:hAnsi="Arial"/>
                <w:sz w:val="20"/>
              </w:rPr>
              <w:t>Low — current accuracy 90% on test set</w:t>
            </w:r>
          </w:p>
        </w:tc>
        <w:tc>
          <w:tcPr>
            <w:tcW w:type="dxa" w:w="3120"/>
          </w:tcPr>
          <w:p>
            <w:r>
              <w:rPr>
                <w:rFonts w:ascii="Arial" w:hAnsi="Arial"/>
                <w:sz w:val="20"/>
              </w:rPr>
              <w:t>Daily log review; onboarding brief advises students to confirm critical decisions with an advisor</w:t>
            </w:r>
          </w:p>
        </w:tc>
      </w:tr>
      <w:tr>
        <w:tc>
          <w:tcPr>
            <w:tcW w:type="dxa" w:w="3120"/>
          </w:tcPr>
          <w:p>
            <w:r>
              <w:rPr>
                <w:rFonts w:ascii="Arial" w:hAnsi="Arial"/>
                <w:sz w:val="20"/>
              </w:rPr>
              <w:t>Low query volume / low participation</w:t>
            </w:r>
          </w:p>
        </w:tc>
        <w:tc>
          <w:tcPr>
            <w:tcW w:type="dxa" w:w="3120"/>
          </w:tcPr>
          <w:p>
            <w:r>
              <w:rPr>
                <w:rFonts w:ascii="Arial" w:hAnsi="Arial"/>
                <w:sz w:val="20"/>
              </w:rPr>
              <w:t>Medium</w:t>
            </w:r>
          </w:p>
        </w:tc>
        <w:tc>
          <w:tcPr>
            <w:tcW w:type="dxa" w:w="3120"/>
          </w:tcPr>
          <w:p>
            <w:r>
              <w:rPr>
                <w:rFonts w:ascii="Arial" w:hAnsi="Arial"/>
                <w:sz w:val="20"/>
              </w:rPr>
              <w:t>Recruit 2x the minimum target; follow up with participants mid-pilot</w:t>
            </w:r>
          </w:p>
        </w:tc>
      </w:tr>
      <w:tr>
        <w:tc>
          <w:tcPr>
            <w:tcW w:type="dxa" w:w="3120"/>
          </w:tcPr>
          <w:p>
            <w:r>
              <w:rPr>
                <w:rFonts w:ascii="Arial" w:hAnsi="Arial"/>
                <w:sz w:val="20"/>
              </w:rPr>
              <w:t>Out-of-date training data (calendar changes)</w:t>
            </w:r>
          </w:p>
        </w:tc>
        <w:tc>
          <w:tcPr>
            <w:tcW w:type="dxa" w:w="3120"/>
          </w:tcPr>
          <w:p>
            <w:r>
              <w:rPr>
                <w:rFonts w:ascii="Arial" w:hAnsi="Arial"/>
                <w:sz w:val="20"/>
              </w:rPr>
              <w:t>Low</w:t>
            </w:r>
          </w:p>
        </w:tc>
        <w:tc>
          <w:tcPr>
            <w:tcW w:type="dxa" w:w="3120"/>
          </w:tcPr>
          <w:p>
            <w:r>
              <w:rPr>
                <w:rFonts w:ascii="Arial" w:hAnsi="Arial"/>
                <w:sz w:val="20"/>
              </w:rPr>
              <w:t>Verify training data reflects current 2025–26 academic calendar before launch</w:t>
            </w:r>
          </w:p>
        </w:tc>
      </w:tr>
      <w:tr>
        <w:tc>
          <w:tcPr>
            <w:tcW w:type="dxa" w:w="3120"/>
          </w:tcPr>
          <w:p>
            <w:r>
              <w:rPr>
                <w:rFonts w:ascii="Arial" w:hAnsi="Arial"/>
                <w:sz w:val="20"/>
              </w:rPr>
              <w:t>Student frustration with wrong answers</w:t>
            </w:r>
          </w:p>
        </w:tc>
        <w:tc>
          <w:tcPr>
            <w:tcW w:type="dxa" w:w="3120"/>
          </w:tcPr>
          <w:p>
            <w:r>
              <w:rPr>
                <w:rFonts w:ascii="Arial" w:hAnsi="Arial"/>
                <w:sz w:val="20"/>
              </w:rPr>
              <w:t>Low–Medium</w:t>
            </w:r>
          </w:p>
        </w:tc>
        <w:tc>
          <w:tcPr>
            <w:tcW w:type="dxa" w:w="3120"/>
          </w:tcPr>
          <w:p>
            <w:r>
              <w:rPr>
                <w:rFonts w:ascii="Arial" w:hAnsi="Arial"/>
                <w:sz w:val="20"/>
              </w:rPr>
              <w:t>Thumbs-down feedback captured; quick-response protocol for flagged issues</w:t>
            </w:r>
          </w:p>
        </w:tc>
      </w:tr>
    </w:tbl>
    <w:p/>
    <w:p>
      <w:pPr>
        <w:spacing w:before="360" w:after="120"/>
      </w:pPr>
      <w:r>
        <w:rPr>
          <w:rFonts w:ascii="Arial" w:hAnsi="Arial"/>
          <w:b/>
          <w:color w:val="1F497D"/>
          <w:sz w:val="36"/>
        </w:rPr>
        <w:t>11. Post-Pilot Assessment</w:t>
      </w:r>
    </w:p>
    <w:p>
      <w:pPr>
        <w:spacing w:after="120"/>
      </w:pPr>
      <w:r>
        <w:rPr>
          <w:rFonts w:ascii="Arial" w:hAnsi="Arial"/>
          <w:sz w:val="22"/>
        </w:rPr>
        <w:t>At the end of the two-week pilot, the following will be compiled into a results brief:</w:t>
      </w:r>
    </w:p>
    <w:p>
      <w:pPr>
        <w:pStyle w:val="ListBullet"/>
        <w:spacing w:after="60"/>
      </w:pPr>
      <w:r>
        <w:rPr>
          <w:rFonts w:ascii="Arial" w:hAnsi="Arial"/>
          <w:sz w:val="22"/>
        </w:rPr>
        <w:t>Total query volume and breakdown by category (prerequisites, deadlines, credit requirements, other)</w:t>
      </w:r>
    </w:p>
    <w:p>
      <w:pPr>
        <w:pStyle w:val="ListBullet"/>
        <w:spacing w:after="60"/>
      </w:pPr>
      <w:r>
        <w:rPr>
          <w:rFonts w:ascii="Arial" w:hAnsi="Arial"/>
          <w:sz w:val="22"/>
        </w:rPr>
        <w:t>Measured accuracy rate (manual review of a random sample of ≥30 queries)</w:t>
      </w:r>
    </w:p>
    <w:p>
      <w:pPr>
        <w:pStyle w:val="ListBullet"/>
        <w:spacing w:after="60"/>
      </w:pPr>
      <w:r>
        <w:rPr>
          <w:rFonts w:ascii="Arial" w:hAnsi="Arial"/>
          <w:sz w:val="22"/>
        </w:rPr>
        <w:t>Hallucination count and any concerning patterns</w:t>
      </w:r>
    </w:p>
    <w:p>
      <w:pPr>
        <w:pStyle w:val="ListBullet"/>
        <w:spacing w:after="60"/>
      </w:pPr>
      <w:r>
        <w:rPr>
          <w:rFonts w:ascii="Arial" w:hAnsi="Arial"/>
          <w:sz w:val="22"/>
        </w:rPr>
        <w:t>Student satisfaction scores and qualitative comments</w:t>
      </w:r>
    </w:p>
    <w:p>
      <w:pPr>
        <w:pStyle w:val="ListBullet"/>
        <w:spacing w:after="60"/>
      </w:pPr>
      <w:r>
        <w:rPr>
          <w:rFonts w:ascii="Arial" w:hAnsi="Arial"/>
          <w:sz w:val="22"/>
        </w:rPr>
        <w:t>List of query types where CampusQ performed poorly or declined to answer</w:t>
      </w:r>
    </w:p>
    <w:p>
      <w:pPr>
        <w:spacing w:after="120"/>
      </w:pPr>
      <w:r>
        <w:rPr>
          <w:rFonts w:ascii="Arial" w:hAnsi="Arial"/>
          <w:sz w:val="22"/>
        </w:rPr>
        <w:t>This results brief will be used to make one of three decisions:</w:t>
      </w:r>
    </w:p>
    <w:p>
      <w:pPr>
        <w:pStyle w:val="ListBullet"/>
        <w:spacing w:after="60"/>
      </w:pPr>
      <w:r>
        <w:rPr>
          <w:rFonts w:ascii="Arial" w:hAnsi="Arial"/>
          <w:sz w:val="22"/>
        </w:rPr>
        <w:t>Proceed to full rollout as-is</w:t>
      </w:r>
    </w:p>
    <w:p>
      <w:pPr>
        <w:pStyle w:val="ListBullet"/>
        <w:spacing w:after="60"/>
      </w:pPr>
      <w:r>
        <w:rPr>
          <w:rFonts w:ascii="Arial" w:hAnsi="Arial"/>
          <w:sz w:val="22"/>
        </w:rPr>
        <w:t>Proceed with targeted improvements first (e.g., expand training data for weak areas)</w:t>
      </w:r>
    </w:p>
    <w:p>
      <w:pPr>
        <w:pStyle w:val="ListBullet"/>
        <w:spacing w:after="60"/>
      </w:pPr>
      <w:r>
        <w:rPr>
          <w:rFonts w:ascii="Arial" w:hAnsi="Arial"/>
          <w:sz w:val="22"/>
        </w:rPr>
        <w:t>Pause and redesign if accuracy or trust thresholds are not met</w:t>
      </w:r>
    </w:p>
    <w:p>
      <w:pPr>
        <w:spacing w:before="360" w:after="120"/>
      </w:pPr>
      <w:r>
        <w:rPr>
          <w:rFonts w:ascii="Arial" w:hAnsi="Arial"/>
          <w:b/>
          <w:color w:val="1F497D"/>
          <w:sz w:val="36"/>
        </w:rPr>
        <w:t>12. Next Steps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F497D"/>
          </w:tcPr>
          <w:p>
            <w:r>
              <w:rPr>
                <w:rFonts w:ascii="Arial" w:hAnsi="Arial"/>
                <w:b/>
                <w:color w:val="FFFFFF"/>
                <w:sz w:val="20"/>
              </w:rPr>
              <w:t>Action</w:t>
            </w:r>
          </w:p>
        </w:tc>
        <w:tc>
          <w:tcPr>
            <w:tcW w:type="dxa" w:w="3120"/>
            <w:shd w:val="clear" w:color="auto" w:fill="1F497D"/>
          </w:tcPr>
          <w:p>
            <w:r>
              <w:rPr>
                <w:rFonts w:ascii="Arial" w:hAnsi="Arial"/>
                <w:b/>
                <w:color w:val="FFFFFF"/>
                <w:sz w:val="20"/>
              </w:rPr>
              <w:t>Owner</w:t>
            </w:r>
          </w:p>
        </w:tc>
        <w:tc>
          <w:tcPr>
            <w:tcW w:type="dxa" w:w="3120"/>
            <w:shd w:val="clear" w:color="auto" w:fill="1F497D"/>
          </w:tcPr>
          <w:p>
            <w:r>
              <w:rPr>
                <w:rFonts w:ascii="Arial" w:hAnsi="Arial"/>
                <w:b/>
                <w:color w:val="FFFFFF"/>
                <w:sz w:val="20"/>
              </w:rPr>
              <w:t>Due</w:t>
            </w:r>
          </w:p>
        </w:tc>
      </w:tr>
      <w:tr>
        <w:tc>
          <w:tcPr>
            <w:tcW w:type="dxa" w:w="3120"/>
          </w:tcPr>
          <w:p>
            <w:r>
              <w:rPr>
                <w:rFonts w:ascii="Arial" w:hAnsi="Arial"/>
                <w:sz w:val="20"/>
              </w:rPr>
              <w:t>Confirm CampusQ web interface is production-ready</w:t>
            </w:r>
          </w:p>
        </w:tc>
        <w:tc>
          <w:tcPr>
            <w:tcW w:type="dxa" w:w="3120"/>
          </w:tcPr>
          <w:p>
            <w:r>
              <w:rPr>
                <w:rFonts w:ascii="Arial" w:hAnsi="Arial"/>
                <w:sz w:val="20"/>
              </w:rPr>
              <w:t>Mahad</w:t>
            </w:r>
          </w:p>
        </w:tc>
        <w:tc>
          <w:tcPr>
            <w:tcW w:type="dxa" w:w="3120"/>
          </w:tcPr>
          <w:p>
            <w:r>
              <w:rPr>
                <w:rFonts w:ascii="Arial" w:hAnsi="Arial"/>
                <w:sz w:val="20"/>
              </w:rPr>
              <w:t>June 10</w:t>
            </w:r>
          </w:p>
        </w:tc>
      </w:tr>
      <w:tr>
        <w:tc>
          <w:tcPr>
            <w:tcW w:type="dxa" w:w="3120"/>
          </w:tcPr>
          <w:p>
            <w:r>
              <w:rPr>
                <w:rFonts w:ascii="Arial" w:hAnsi="Arial"/>
                <w:sz w:val="20"/>
              </w:rPr>
              <w:t>Enable query logging</w:t>
            </w:r>
          </w:p>
        </w:tc>
        <w:tc>
          <w:tcPr>
            <w:tcW w:type="dxa" w:w="3120"/>
          </w:tcPr>
          <w:p>
            <w:r>
              <w:rPr>
                <w:rFonts w:ascii="Arial" w:hAnsi="Arial"/>
                <w:sz w:val="20"/>
              </w:rPr>
              <w:t>Mahad</w:t>
            </w:r>
          </w:p>
        </w:tc>
        <w:tc>
          <w:tcPr>
            <w:tcW w:type="dxa" w:w="3120"/>
          </w:tcPr>
          <w:p>
            <w:r>
              <w:rPr>
                <w:rFonts w:ascii="Arial" w:hAnsi="Arial"/>
                <w:sz w:val="20"/>
              </w:rPr>
              <w:t>June 10</w:t>
            </w:r>
          </w:p>
        </w:tc>
      </w:tr>
      <w:tr>
        <w:tc>
          <w:tcPr>
            <w:tcW w:type="dxa" w:w="3120"/>
          </w:tcPr>
          <w:p>
            <w:r>
              <w:rPr>
                <w:rFonts w:ascii="Arial" w:hAnsi="Arial"/>
                <w:sz w:val="20"/>
              </w:rPr>
              <w:t>Draft participant onboarding brief (1 page)</w:t>
            </w:r>
          </w:p>
        </w:tc>
        <w:tc>
          <w:tcPr>
            <w:tcW w:type="dxa" w:w="3120"/>
          </w:tcPr>
          <w:p>
            <w:r>
              <w:rPr>
                <w:rFonts w:ascii="Arial" w:hAnsi="Arial"/>
                <w:sz w:val="20"/>
              </w:rPr>
              <w:t>Mahad</w:t>
            </w:r>
          </w:p>
        </w:tc>
        <w:tc>
          <w:tcPr>
            <w:tcW w:type="dxa" w:w="3120"/>
          </w:tcPr>
          <w:p>
            <w:r>
              <w:rPr>
                <w:rFonts w:ascii="Arial" w:hAnsi="Arial"/>
                <w:sz w:val="20"/>
              </w:rPr>
              <w:t>June 12</w:t>
            </w:r>
          </w:p>
        </w:tc>
      </w:tr>
      <w:tr>
        <w:tc>
          <w:tcPr>
            <w:tcW w:type="dxa" w:w="3120"/>
          </w:tcPr>
          <w:p>
            <w:r>
              <w:rPr>
                <w:rFonts w:ascii="Arial" w:hAnsi="Arial"/>
                <w:sz w:val="20"/>
              </w:rPr>
              <w:t>Recruit 30–60 student participants</w:t>
            </w:r>
          </w:p>
        </w:tc>
        <w:tc>
          <w:tcPr>
            <w:tcW w:type="dxa" w:w="3120"/>
          </w:tcPr>
          <w:p>
            <w:r>
              <w:rPr>
                <w:rFonts w:ascii="Arial" w:hAnsi="Arial"/>
                <w:sz w:val="20"/>
              </w:rPr>
              <w:t>Mahad</w:t>
            </w:r>
          </w:p>
        </w:tc>
        <w:tc>
          <w:tcPr>
            <w:tcW w:type="dxa" w:w="3120"/>
          </w:tcPr>
          <w:p>
            <w:r>
              <w:rPr>
                <w:rFonts w:ascii="Arial" w:hAnsi="Arial"/>
                <w:sz w:val="20"/>
              </w:rPr>
              <w:t>June 13</w:t>
            </w:r>
          </w:p>
        </w:tc>
      </w:tr>
      <w:tr>
        <w:tc>
          <w:tcPr>
            <w:tcW w:type="dxa" w:w="3120"/>
          </w:tcPr>
          <w:p>
            <w:r>
              <w:rPr>
                <w:rFonts w:ascii="Arial" w:hAnsi="Arial"/>
                <w:sz w:val="20"/>
              </w:rPr>
              <w:t>Launch pilot</w:t>
            </w:r>
          </w:p>
        </w:tc>
        <w:tc>
          <w:tcPr>
            <w:tcW w:type="dxa" w:w="3120"/>
          </w:tcPr>
          <w:p>
            <w:r>
              <w:rPr>
                <w:rFonts w:ascii="Arial" w:hAnsi="Arial"/>
                <w:sz w:val="20"/>
              </w:rPr>
              <w:t>Mahad</w:t>
            </w:r>
          </w:p>
        </w:tc>
        <w:tc>
          <w:tcPr>
            <w:tcW w:type="dxa" w:w="3120"/>
          </w:tcPr>
          <w:p>
            <w:r>
              <w:rPr>
                <w:rFonts w:ascii="Arial" w:hAnsi="Arial"/>
                <w:sz w:val="20"/>
              </w:rPr>
              <w:t>June 16</w:t>
            </w:r>
          </w:p>
        </w:tc>
      </w:tr>
      <w:tr>
        <w:tc>
          <w:tcPr>
            <w:tcW w:type="dxa" w:w="3120"/>
          </w:tcPr>
          <w:p>
            <w:r>
              <w:rPr>
                <w:rFonts w:ascii="Arial" w:hAnsi="Arial"/>
                <w:sz w:val="20"/>
              </w:rPr>
              <w:t>Mid-pilot check-in (Week 1 summary)</w:t>
            </w:r>
          </w:p>
        </w:tc>
        <w:tc>
          <w:tcPr>
            <w:tcW w:type="dxa" w:w="3120"/>
          </w:tcPr>
          <w:p>
            <w:r>
              <w:rPr>
                <w:rFonts w:ascii="Arial" w:hAnsi="Arial"/>
                <w:sz w:val="20"/>
              </w:rPr>
              <w:t>Mahad</w:t>
            </w:r>
          </w:p>
        </w:tc>
        <w:tc>
          <w:tcPr>
            <w:tcW w:type="dxa" w:w="3120"/>
          </w:tcPr>
          <w:p>
            <w:r>
              <w:rPr>
                <w:rFonts w:ascii="Arial" w:hAnsi="Arial"/>
                <w:sz w:val="20"/>
              </w:rPr>
              <w:t>June 20</w:t>
            </w:r>
          </w:p>
        </w:tc>
      </w:tr>
      <w:tr>
        <w:tc>
          <w:tcPr>
            <w:tcW w:type="dxa" w:w="3120"/>
          </w:tcPr>
          <w:p>
            <w:r>
              <w:rPr>
                <w:rFonts w:ascii="Arial" w:hAnsi="Arial"/>
                <w:sz w:val="20"/>
              </w:rPr>
              <w:t>Compile final results brief</w:t>
            </w:r>
          </w:p>
        </w:tc>
        <w:tc>
          <w:tcPr>
            <w:tcW w:type="dxa" w:w="3120"/>
          </w:tcPr>
          <w:p>
            <w:r>
              <w:rPr>
                <w:rFonts w:ascii="Arial" w:hAnsi="Arial"/>
                <w:sz w:val="20"/>
              </w:rPr>
              <w:t>Mahad</w:t>
            </w:r>
          </w:p>
        </w:tc>
        <w:tc>
          <w:tcPr>
            <w:tcW w:type="dxa" w:w="3120"/>
          </w:tcPr>
          <w:p>
            <w:r>
              <w:rPr>
                <w:rFonts w:ascii="Arial" w:hAnsi="Arial"/>
                <w:sz w:val="20"/>
              </w:rPr>
              <w:t>July 4</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