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vAlign w:val="top"/>
          </w:tcPr>
          <w:p>
            <w:pPr>
              <w:spacing w:after="60"/>
            </w:pPr>
            <w:r>
              <w:rPr>
                <w:rFonts w:ascii="Arial" w:cs="Arial" w:eastAsia="Arial" w:hAnsi="Arial"/>
                <w:b/>
                <w:bCs/>
                <w:color w:val="FFFFFF"/>
                <w:sz w:val="52"/>
                <w:szCs w:val="52"/>
              </w:rPr>
              <w:t xml:space="preserve">RETROPICK PROTOCOL</w:t>
            </w:r>
          </w:p>
          <w:p>
            <w:pPr>
              <w:spacing w:after="120"/>
            </w:pPr>
            <w:r>
              <w:rPr>
                <w:rFonts w:ascii="Arial" w:cs="Arial" w:eastAsia="Arial" w:hAnsi="Arial"/>
                <w:color w:val="9FC8B8"/>
                <w:sz w:val="32"/>
                <w:szCs w:val="32"/>
              </w:rPr>
              <w:t xml:space="preserve">Market Catalog &amp; Chainlink Feed Reference</w:t>
            </w:r>
          </w:p>
          <w:p>
            <w:pPr>
              <w:spacing w:after="60"/>
            </w:pPr>
            <w:r>
              <w:rPr>
                <w:rFonts w:ascii="Arial" w:cs="Arial" w:eastAsia="Arial" w:hAnsi="Arial"/>
                <w:color w:val="CCCCCC"/>
                <w:sz w:val="20"/>
                <w:szCs w:val="20"/>
              </w:rPr>
              <w:t xml:space="preserve">All market types achievable with the market_engine smart contract</w:t>
            </w:r>
          </w:p>
          <w:p>
            <w:pPr>
              <w:spacing w:after="0"/>
            </w:pPr>
            <w:r>
              <w:rPr>
                <w:rFonts w:ascii="Arial" w:cs="Arial" w:eastAsia="Arial" w:hAnsi="Arial"/>
                <w:color w:val="AAAAAA"/>
                <w:sz w:val="18"/>
                <w:szCs w:val="18"/>
              </w:rPr>
              <w:t xml:space="preserve">Source: data.chain.link / docs.chain.link  ·  Version 1.0  ·  April 2026</w:t>
            </w:r>
          </w:p>
        </w:tc>
      </w:tr>
    </w:tbl>
    <w:p>
      <w:pPr>
        <w:spacing w:after="400"/>
      </w:pPr>
      <w:r>
        <w:rPr>
          <w:rFonts w:ascii="Arial" w:cs="Arial" w:eastAsia="Arial" w:hAnsi="Arial"/>
        </w:rPr>
        <w:t xml:space="preserve"/>
      </w:r>
    </w:p>
    <w:p>
      <w:pPr>
        <w:pBdr>
          <w:bottom w:val="single" w:color="1D9E75" w:sz="8" w:space="4"/>
        </w:pBdr>
        <w:spacing w:after="180" w:before="360"/>
      </w:pPr>
      <w:r>
        <w:rPr>
          <w:rFonts w:ascii="Arial" w:cs="Arial" w:eastAsia="Arial" w:hAnsi="Arial"/>
          <w:b/>
          <w:bCs/>
          <w:color w:val="1B3A6B"/>
          <w:sz w:val="28"/>
          <w:szCs w:val="28"/>
        </w:rPr>
        <w:t xml:space="preserve">1. How Chainlink Feeds Connect to market_engine</w:t>
      </w:r>
    </w:p>
    <w:p>
      <w:pPr>
        <w:spacing w:after="100"/>
      </w:pPr>
      <w:r>
        <w:rPr>
          <w:rFonts w:ascii="Arial" w:cs="Arial" w:eastAsia="Arial" w:hAnsi="Arial"/>
          <w:color w:val="1A1A1A"/>
          <w:sz w:val="19"/>
          <w:szCs w:val="19"/>
        </w:rPr>
        <w:t xml:space="preserve">Every market in RetroPick requires exactly one Chainlink feed address (the oracle proxy). This address is stored as the oracleFeedId in the MarketTemplate, encoded as bytes32(uint256(uint160(proxyAddress))). The ChainlinkAdapter reads latestRoundData() from that proxy, normalises the answer to 8-decimal fixed-point (value_e8), and returns it to the engine at lock and resolve time.</w:t>
      </w:r>
    </w:p>
    <w:p>
      <w:pPr>
        <w:spacing w:after="100"/>
      </w:pPr>
      <w:r>
        <w:rPr>
          <w:rFonts w:ascii="Arial" w:cs="Arial" w:eastAsia="Arial" w:hAnsi="Arial"/>
          <w:color w:val="1A1A1A"/>
          <w:sz w:val="19"/>
          <w:szCs w:val="19"/>
        </w:rPr>
        <w:t xml:space="preserve">Because the template is the only place the feed address lives, adding a new market requires one call to upsertTemplate with the new feed address, then one call to initializeMarket. No other code changes are required. Any asset class for which Chainlink publishes a price feed can become a RetroPick market.</w:t>
      </w:r>
    </w:p>
    <w:p>
      <w:pPr>
        <w:spacing w:after="8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20"/>
        <w:gridCol w:w="9518"/>
      </w:tblGrid>
      <w:tr>
        <w:tc>
          <w:tcPr>
            <w:tcW w:type="dxa" w:w="120"/>
            <w:gridSpan w:val="1"/>
            <w:tcBorders>
              <w:top w:val="none" w:color="FFFFFF" w:sz="0"/>
              <w:left w:val="none" w:color="FFFFFF" w:sz="0"/>
              <w:bottom w:val="none" w:color="FFFFFF" w:sz="0"/>
              <w:right w:val="none" w:color="FFFFFF" w:sz="0"/>
            </w:tcBorders>
            <w:shd w:fill="1D9E75" w:val="clear"/>
            <w:tcMar>
              <w:top w:type="dxa" w:w="80"/>
              <w:left w:type="dxa" w:w="140"/>
              <w:bottom w:type="dxa" w:w="80"/>
              <w:right w:type="dxa" w:w="140"/>
            </w:tcMar>
            <w:vAlign w:val="top"/>
          </w:tcPr>
          <w:p>
            <w:pPr>
              <w:spacing w:after="0"/>
            </w:pPr>
            <w:r>
              <w:rPr>
                <w:rFonts w:ascii="Arial" w:cs="Arial" w:eastAsia="Arial" w:hAnsi="Arial"/>
              </w:rPr>
              <w:t xml:space="preserve"/>
            </w:r>
          </w:p>
        </w:tc>
        <w:tc>
          <w:tcPr>
            <w:tcW w:type="dxa" w:w="9518"/>
            <w:gridSpan w:val="1"/>
            <w:tcBorders>
              <w:top w:val="none" w:color="FFFFFF" w:sz="0"/>
              <w:left w:val="none" w:color="FFFFFF" w:sz="0"/>
              <w:bottom w:val="none" w:color="FFFFFF" w:sz="0"/>
              <w:right w:val="none" w:color="FFFFFF" w:sz="0"/>
            </w:tcBorders>
            <w:shd w:fill="F4F4F2" w:val="clear"/>
            <w:tcMar>
              <w:top w:type="dxa" w:w="80"/>
              <w:left w:type="dxa" w:w="140"/>
              <w:bottom w:type="dxa" w:w="80"/>
              <w:right w:type="dxa" w:w="140"/>
            </w:tcMar>
            <w:vAlign w:val="top"/>
          </w:tcPr>
          <w:p>
            <w:pPr>
              <w:spacing w:after="60"/>
            </w:pPr>
            <w:r>
              <w:rPr>
                <w:rFonts w:ascii="Arial" w:cs="Arial" w:eastAsia="Arial" w:hAnsi="Arial"/>
                <w:color w:val="1A1A1A"/>
                <w:sz w:val="18"/>
                <w:szCs w:val="18"/>
              </w:rPr>
              <w:t xml:space="preserve">The three resolver types already implement everything needed for any price feed:</w:t>
            </w:r>
          </w:p>
          <w:p>
            <w:pPr>
              <w:spacing w:after="60"/>
            </w:pPr>
            <w:r>
              <w:rPr>
                <w:rFonts w:ascii="Arial" w:cs="Arial" w:eastAsia="Arial" w:hAnsi="Arial"/>
                <w:color w:val="1A1A1A"/>
                <w:sz w:val="18"/>
                <w:szCs w:val="18"/>
              </w:rPr>
              <w:t xml:space="preserve">  Direction — 'will the price be higher or lower than it is now?' (binary, rolling-compatible)</w:t>
            </w:r>
          </w:p>
          <w:p>
            <w:pPr>
              <w:spacing w:after="60"/>
            </w:pPr>
            <w:r>
              <w:rPr>
                <w:rFonts w:ascii="Arial" w:cs="Arial" w:eastAsia="Arial" w:hAnsi="Arial"/>
                <w:color w:val="1A1A1A"/>
                <w:sz w:val="18"/>
                <w:szCs w:val="18"/>
              </w:rPr>
              <w:t xml:space="preserve">  Threshold — 'will the price be above or below a fixed level at close?' (binary, manual)</w:t>
            </w:r>
          </w:p>
          <w:p>
            <w:pPr>
              <w:spacing w:after="60"/>
            </w:pPr>
            <w:r>
              <w:rPr>
                <w:rFonts w:ascii="Arial" w:cs="Arial" w:eastAsia="Arial" w:hAnsi="Arial"/>
                <w:color w:val="1A1A1A"/>
                <w:sz w:val="18"/>
                <w:szCs w:val="18"/>
              </w:rPr>
              <w:t xml:space="preserve">  RangeClose — 'which price bucket will it close in?' (N outcomes, manual)</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No new resolver code is needed to support any of the asset classes below.</w:t>
            </w:r>
          </w:p>
        </w:tc>
      </w:tr>
    </w:tbl>
    <w:p>
      <w:pPr>
        <w:spacing w:after="200"/>
      </w:pPr>
      <w:r>
        <w:rPr>
          <w:rFonts w:ascii="Arial" w:cs="Arial" w:eastAsia="Arial" w:hAnsi="Arial"/>
        </w:rPr>
        <w:t xml:space="preserve"/>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26"/>
                <w:szCs w:val="26"/>
              </w:rPr>
              <w:t xml:space="preserve">₿  Category 1 — Cryptocurrencies</w:t>
            </w:r>
          </w:p>
        </w:tc>
      </w:tr>
    </w:tbl>
    <w:p>
      <w:pPr>
        <w:spacing w:after="120"/>
      </w:pPr>
      <w:r>
        <w:rPr>
          <w:rFonts w:ascii="Arial" w:cs="Arial" w:eastAsia="Arial" w:hAnsi="Arial"/>
        </w:rPr>
        <w:t xml:space="preserve"/>
      </w:r>
    </w:p>
    <w:p>
      <w:pPr>
        <w:spacing w:after="120" w:before="240"/>
      </w:pPr>
      <w:r>
        <w:rPr>
          <w:rFonts w:ascii="Arial" w:cs="Arial" w:eastAsia="Arial" w:hAnsi="Arial"/>
          <w:b/>
          <w:bCs/>
          <w:color w:val="1B3A6B"/>
          <w:sz w:val="22"/>
          <w:szCs w:val="22"/>
        </w:rPr>
        <w:t xml:space="preserve">Overview</w:t>
      </w:r>
    </w:p>
    <w:p>
      <w:pPr>
        <w:spacing w:after="100"/>
      </w:pPr>
      <w:r>
        <w:rPr>
          <w:rFonts w:ascii="Arial" w:cs="Arial" w:eastAsia="Arial" w:hAnsi="Arial"/>
          <w:color w:val="1A1A1A"/>
          <w:sz w:val="19"/>
          <w:szCs w:val="19"/>
        </w:rPr>
        <w:t xml:space="preserve">The largest and most liquid category. Chainlink has published crypto price feeds since 2019 — these are the most battle-tested feeds available. All feeds update continuously (no market-hours restriction). Ideal for Direction (rolling 5-min, 15-min) and Threshold/RangeClose (daily, weekly). Chainlink rates major crypto feeds as Low Market Pricing Risk.</w:t>
      </w:r>
    </w:p>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Major crypto feeds — Ethereum mainnet (proxy addresses)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800"/>
        <w:gridCol w:w="1600"/>
        <w:gridCol w:w="1500"/>
        <w:gridCol w:w="2000"/>
        <w:gridCol w:w="1738"/>
      </w:tblGrid>
      <w:tr>
        <w:trPr>
          <w:tblHeader/>
        </w:trPr>
        <w:tc>
          <w:tcPr>
            <w:tcW w:type="dxa" w:w="28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6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Proxy address (Ethereum)</w:t>
            </w:r>
          </w:p>
        </w:tc>
        <w:tc>
          <w:tcPr>
            <w:tcW w:type="dxa" w:w="15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Decimals</w:t>
            </w:r>
          </w:p>
        </w:tc>
        <w:tc>
          <w:tcPr>
            <w:tcW w:type="dxa" w:w="20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Heartbeat</w:t>
            </w:r>
          </w:p>
        </w:tc>
        <w:tc>
          <w:tcPr>
            <w:tcW w:type="dxa" w:w="1738"/>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Best market types</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BTC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0xF4030086522a5bEEa4988F8cA5B36dbC97BeE88c</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5m·15m·1h, Threshold, RangeClose</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ETH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0x5f4eC3Df9cbd43714FE2740f5E3616155c5b8419</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5m·15m·1h, Threshold, RangeClose</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SOL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0x4ffC43a60e009B551865A93d232E33Fce9f01507</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5m·15m·1h, Threshold</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BNB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0x14e613AC84a31f709eadbEF3bf98585Hxxx</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AVAX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0xFF3EEb22B5E3dE6e705b44749C2559d704923FD</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LINK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0x2c1d072e956AFFC0D435Cb7AC38EF18d24d9127c</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 RangeClose</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MATIC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0x7bAC85A8a13A4BcD8abb3eB7d6b4d632c895e6A7</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UNI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0x553303d460EE0afB37EdFf9bE42922D8FF63220e</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1h, Threshold</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AAVE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0x547a514d5e3769680Ce22B2361c10Ea13619e8a9</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1h, Threshold</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CRV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0xCd627aA160A6fA45Eb793D19Ef54f5062F20f33f</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1h, Threshold</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MKR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0xec1D1B3b0443256cc3860e24a46F108e699484Aa</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1h, Threshold</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SNX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0xDC3EA94CD0AC27d9A86C180091e7f78C683d3699</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Threshold, RangeClose</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COMP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0xdbd020CAeF83eFd542f4De03e3cF0C28A4428bd5</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1%</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Threshold, RangeClose</w:t>
            </w:r>
          </w:p>
        </w:tc>
      </w:tr>
      <w:tr>
        <w:tc>
          <w:tcPr>
            <w:tcW w:type="dxa" w:w="2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DOT / USD</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0x1C07AFb8E2B827c5A4739C6d59Ae3A5035f28734</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w:t>
            </w:r>
          </w:p>
        </w:tc>
      </w:tr>
      <w:tr>
        <w:tc>
          <w:tcPr>
            <w:tcW w:type="dxa" w:w="2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B3A6B"/>
                <w:sz w:val="17"/>
                <w:szCs w:val="17"/>
              </w:rPr>
              <w:t xml:space="preserve">ADA / USD</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0xAE48c91dF1fE419994FFDa27da09D5aC69c30f55</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3600s / 0.5%</w:t>
            </w:r>
          </w:p>
        </w:tc>
        <w:tc>
          <w:tcPr>
            <w:tcW w:type="dxa" w:w="17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 15m·1h, Threshold</w:t>
            </w:r>
          </w:p>
        </w:tc>
      </w:tr>
    </w:tbl>
    <w:p>
      <w:pPr>
        <w:spacing w:after="100"/>
      </w:pPr>
      <w:r>
        <w:rPr>
          <w:rFonts w:ascii="Arial" w:cs="Arial" w:eastAsia="Arial" w:hAnsi="Arial"/>
        </w:rPr>
        <w:t xml:space="preserve"/>
      </w:r>
    </w:p>
    <w:p>
      <w:pPr>
        <w:spacing w:after="80"/>
      </w:pPr>
      <w:r>
        <w:rPr>
          <w:rFonts w:ascii="Arial" w:cs="Arial" w:eastAsia="Arial" w:hAnsi="Arial"/>
          <w:b/>
          <w:bCs/>
          <w:color w:val="B45309"/>
          <w:sz w:val="18"/>
          <w:szCs w:val="18"/>
        </w:rPr>
        <w:t xml:space="preserve">Note: </w:t>
      </w:r>
      <w:r>
        <w:rPr>
          <w:rFonts w:ascii="Arial" w:cs="Arial" w:eastAsia="Arial" w:hAnsi="Arial"/>
          <w:color w:val="555555"/>
          <w:sz w:val="18"/>
          <w:szCs w:val="18"/>
        </w:rPr>
        <w:t xml:space="preserve">Heartbeat is max time between on-chain updates. Deviation trigger is the % price change that forces an immediate update. Set oracleMaxDelaySeconds &gt;= heartbeat + buffer (e.g. 3600s heartbeat → use 3900s or 4500s).</w:t>
      </w:r>
    </w:p>
    <w:p>
      <w:pPr>
        <w:spacing w:after="200"/>
      </w:pPr>
      <w:r>
        <w:rPr>
          <w:rFonts w:ascii="Arial" w:cs="Arial" w:eastAsia="Arial" w:hAnsi="Arial"/>
        </w:rPr>
        <w:t xml:space="preserve"/>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26"/>
                <w:szCs w:val="26"/>
              </w:rPr>
              <w:t xml:space="preserve">💱  Category 2 — Forex (Foreign Exchange)</w:t>
            </w:r>
          </w:p>
        </w:tc>
      </w:tr>
    </w:tbl>
    <w:p>
      <w:pPr>
        <w:spacing w:after="120"/>
      </w:pPr>
      <w:r>
        <w:rPr>
          <w:rFonts w:ascii="Arial" w:cs="Arial" w:eastAsia="Arial" w:hAnsi="Arial"/>
        </w:rPr>
        <w:t xml:space="preserve"/>
      </w:r>
    </w:p>
    <w:p>
      <w:pPr>
        <w:spacing w:after="120" w:before="240"/>
      </w:pPr>
      <w:r>
        <w:rPr>
          <w:rFonts w:ascii="Arial" w:cs="Arial" w:eastAsia="Arial" w:hAnsi="Arial"/>
          <w:b/>
          <w:bCs/>
          <w:color w:val="2E4057"/>
          <w:sz w:val="22"/>
          <w:szCs w:val="22"/>
        </w:rPr>
        <w:t xml:space="preserve">Overview</w:t>
      </w:r>
    </w:p>
    <w:p>
      <w:pPr>
        <w:spacing w:after="100"/>
      </w:pPr>
      <w:r>
        <w:rPr>
          <w:rFonts w:ascii="Arial" w:cs="Arial" w:eastAsia="Arial" w:hAnsi="Arial"/>
          <w:color w:val="1A1A1A"/>
          <w:sz w:val="19"/>
          <w:szCs w:val="19"/>
        </w:rPr>
        <w:t xml:space="preserve">Forex markets are the largest in the world by volume ($7.5 trillion/day). Chainlink publishes EUR, GBP, JPY, AUD, NZD, CHF, and CNH feeds. These are particularly relevant for South-East Asian and Gulf users. IMPORTANT: Forex feeds only update during active market hours (London/New York sessions). Do NOT schedule rolling rounds that cross weekend hours or major market holidays — the oracle will return stale prices and trigger OracleStale halts.</w:t>
      </w:r>
    </w:p>
    <w:p>
      <w:pPr>
        <w:spacing w:after="8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20"/>
        <w:gridCol w:w="9518"/>
      </w:tblGrid>
      <w:tr>
        <w:tc>
          <w:tcPr>
            <w:tcW w:type="dxa" w:w="120"/>
            <w:gridSpan w:val="1"/>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top"/>
          </w:tcPr>
          <w:p>
            <w:pPr>
              <w:spacing w:after="0"/>
            </w:pPr>
            <w:r>
              <w:rPr>
                <w:rFonts w:ascii="Arial" w:cs="Arial" w:eastAsia="Arial" w:hAnsi="Arial"/>
              </w:rPr>
              <w:t xml:space="preserve"/>
            </w:r>
          </w:p>
        </w:tc>
        <w:tc>
          <w:tcPr>
            <w:tcW w:type="dxa" w:w="9518"/>
            <w:gridSpan w:val="1"/>
            <w:tcBorders>
              <w:top w:val="none" w:color="FFFFFF" w:sz="0"/>
              <w:left w:val="none" w:color="FFFFFF" w:sz="0"/>
              <w:bottom w:val="none" w:color="FFFFFF" w:sz="0"/>
              <w:right w:val="none" w:color="FFFFFF" w:sz="0"/>
            </w:tcBorders>
            <w:shd w:fill="F4F4F2" w:val="clear"/>
            <w:tcMar>
              <w:top w:type="dxa" w:w="80"/>
              <w:left w:type="dxa" w:w="140"/>
              <w:bottom w:type="dxa" w:w="80"/>
              <w:right w:type="dxa" w:w="140"/>
            </w:tcMar>
            <w:vAlign w:val="top"/>
          </w:tcPr>
          <w:p>
            <w:pPr>
              <w:spacing w:after="60"/>
            </w:pPr>
            <w:r>
              <w:rPr>
                <w:rFonts w:ascii="Arial" w:cs="Arial" w:eastAsia="Arial" w:hAnsi="Arial"/>
                <w:color w:val="1A1A1A"/>
                <w:sz w:val="18"/>
                <w:szCs w:val="18"/>
              </w:rPr>
              <w:t xml:space="preserve">CRITICAL operating constraint for forex markets:</w:t>
            </w:r>
          </w:p>
          <w:p>
            <w:pPr>
              <w:spacing w:after="60"/>
            </w:pPr>
            <w:r>
              <w:rPr>
                <w:rFonts w:ascii="Arial" w:cs="Arial" w:eastAsia="Arial" w:hAnsi="Arial"/>
                <w:color w:val="1A1A1A"/>
                <w:sz w:val="18"/>
                <w:szCs w:val="18"/>
              </w:rPr>
              <w:t xml:space="preserve">Market hours: Sunday 22:00 UTC to Friday 22:00 UTC (with gaps around major holidays).</w:t>
            </w:r>
          </w:p>
          <w:p>
            <w:pPr>
              <w:spacing w:after="60"/>
            </w:pPr>
            <w:r>
              <w:rPr>
                <w:rFonts w:ascii="Arial" w:cs="Arial" w:eastAsia="Arial" w:hAnsi="Arial"/>
                <w:color w:val="1A1A1A"/>
                <w:sz w:val="18"/>
                <w:szCs w:val="18"/>
              </w:rPr>
              <w:t xml:space="preserve">Configure rolling rounds only within active trading sessions. Use manual mode for daily/weekly markets.</w:t>
            </w:r>
          </w:p>
          <w:p>
            <w:pPr>
              <w:spacing w:after="60"/>
            </w:pPr>
            <w:r>
              <w:rPr>
                <w:rFonts w:ascii="Arial" w:cs="Arial" w:eastAsia="Arial" w:hAnsi="Arial"/>
                <w:color w:val="1A1A1A"/>
                <w:sz w:val="18"/>
                <w:szCs w:val="18"/>
              </w:rPr>
              <w:t xml:space="preserve">Set oracleMaxDelaySeconds to match the expected session gap (e.g. 7200s for 2-hour tolerance during low-liquidity periods).</w:t>
            </w:r>
          </w:p>
        </w:tc>
      </w:tr>
    </w:tbl>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Major forex feeds — Ethereum mainnet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1300"/>
        <w:gridCol w:w="1800"/>
        <w:gridCol w:w="2338"/>
      </w:tblGrid>
      <w:tr>
        <w:trPr>
          <w:tblHeader/>
        </w:trPr>
        <w:tc>
          <w:tcPr>
            <w:tcW w:type="dxa" w:w="24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8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Proxy address (Ethereum)</w:t>
            </w:r>
          </w:p>
        </w:tc>
        <w:tc>
          <w:tcPr>
            <w:tcW w:type="dxa" w:w="13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Decimals</w:t>
            </w:r>
          </w:p>
        </w:tc>
        <w:tc>
          <w:tcPr>
            <w:tcW w:type="dxa" w:w="18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Heartbeat</w:t>
            </w:r>
          </w:p>
        </w:tc>
        <w:tc>
          <w:tcPr>
            <w:tcW w:type="dxa" w:w="2338"/>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EUR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0xb49f677943BC038e9857d61E7d053CaA2C1734C1</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Major pair. Largest FX market by volume.</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GBP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0x5c0Ab2d9b5a7ed9f470386e82BB36A3613cDd4b5</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Major pair. Active London session.</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JPY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0xBcE206caE7f0ec07b545EddE332A47C2F75bbeb3</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Inverted: quote USD per 1 JPY.</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AUD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0x77F9710E7d0A19669A13c055F62cd80d313dF022</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Asia-Pacific session active.</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NZD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0x3977CFc9e4f29C184D4675f4EB8e0013236e5f3e</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Asia-Pacific session.</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USD / CHF</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0x449d117117838fFA61263B61dA6301AA2a88B13A</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0.15%</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Safe haven pair. Note: inverted quoting.</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USD / CNH</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0xeF8A4aF35cd47424672E3C590aBD37FBB7A7717a</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0.3%</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Offshore Chinese yuan. SEA-relevant.</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2E4057"/>
                <w:sz w:val="17"/>
                <w:szCs w:val="17"/>
              </w:rPr>
              <w:t xml:space="preserve">USD / ARS</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ARS feed — check current Chainlink availability</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Custom</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Emerging market. Higher risk tier.</w:t>
            </w:r>
          </w:p>
        </w:tc>
      </w:tr>
    </w:tbl>
    <w:p>
      <w:pPr>
        <w:spacing w:after="10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Derived forex pairs (not directly available — compute on-chain)</w:t>
      </w:r>
    </w:p>
    <w:p>
      <w:pPr>
        <w:spacing w:after="100"/>
      </w:pPr>
      <w:r>
        <w:rPr>
          <w:rFonts w:ascii="Arial" w:cs="Arial" w:eastAsia="Arial" w:hAnsi="Arial"/>
          <w:color w:val="1A1A1A"/>
          <w:sz w:val="19"/>
          <w:szCs w:val="19"/>
        </w:rPr>
        <w:t xml:space="preserve">The following pairs are not directly available as Chainlink feeds but can be derived by combining two feeds. The ChainlinkAdapter would need to be extended to support two-feed arithmetic, or a separate adapter written.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000"/>
        <w:gridCol w:w="3500"/>
        <w:gridCol w:w="4138"/>
      </w:tblGrid>
      <w:tr>
        <w:trPr>
          <w:tblHeader/>
        </w:trPr>
        <w:tc>
          <w:tcPr>
            <w:tcW w:type="dxa" w:w="20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Target pair</w:t>
            </w:r>
          </w:p>
        </w:tc>
        <w:tc>
          <w:tcPr>
            <w:tcW w:type="dxa" w:w="3500"/>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Derivation</w:t>
            </w:r>
          </w:p>
        </w:tc>
        <w:tc>
          <w:tcPr>
            <w:tcW w:type="dxa" w:w="4138"/>
            <w:gridSpan w:val="1"/>
            <w:tcBorders>
              <w:top w:val="single" w:color="2E4057" w:sz="4"/>
              <w:left w:val="single" w:color="2E4057" w:sz="4"/>
              <w:bottom w:val="single" w:color="2E4057" w:sz="4"/>
              <w:right w:val="single" w:color="2E4057" w:sz="4"/>
            </w:tcBorders>
            <w:shd w:fill="2E4057"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USD / MYR</w:t>
            </w:r>
          </w:p>
        </w:tc>
        <w:tc>
          <w:tcPr>
            <w:tcW w:type="dxa" w:w="3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No direct feed. Use USD/CNH as proxy or Pyth.</w:t>
            </w:r>
          </w:p>
        </w:tc>
        <w:tc>
          <w:tcPr>
            <w:tcW w:type="dxa" w:w="41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Important for Malaysian market. Not on Ethereum mainnet currently.</w:t>
            </w:r>
          </w:p>
        </w:tc>
      </w:tr>
      <w:tr>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USD / IDR</w:t>
            </w:r>
          </w:p>
        </w:tc>
        <w:tc>
          <w:tcPr>
            <w:tcW w:type="dxa" w:w="3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No direct feed. Use Pyth or a custom adapter.</w:t>
            </w:r>
          </w:p>
        </w:tc>
        <w:tc>
          <w:tcPr>
            <w:tcW w:type="dxa" w:w="41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Indonesian market. Pyth has USD/IDR feed.</w:t>
            </w:r>
          </w:p>
        </w:tc>
      </w:tr>
      <w:tr>
        <w:tc>
          <w:tcPr>
            <w:tcW w:type="dxa" w:w="20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BTC / EUR</w:t>
            </w:r>
          </w:p>
        </w:tc>
        <w:tc>
          <w:tcPr>
            <w:tcW w:type="dxa" w:w="3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BTC/USD ÷ EUR/USD</w:t>
            </w:r>
          </w:p>
        </w:tc>
        <w:tc>
          <w:tcPr>
            <w:tcW w:type="dxa" w:w="41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Requires dual-feed adapter. Possible with contract upgrade.</w:t>
            </w:r>
          </w:p>
        </w:tc>
      </w:tr>
      <w:tr>
        <w:tc>
          <w:tcPr>
            <w:tcW w:type="dxa" w:w="20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ETH / GBP</w:t>
            </w:r>
          </w:p>
        </w:tc>
        <w:tc>
          <w:tcPr>
            <w:tcW w:type="dxa" w:w="3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ETH/USD ÷ GBP/USD</w:t>
            </w:r>
          </w:p>
        </w:tc>
        <w:tc>
          <w:tcPr>
            <w:tcW w:type="dxa" w:w="41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Same pattern.</w:t>
            </w:r>
          </w:p>
        </w:tc>
      </w:tr>
    </w:tbl>
    <w:p>
      <w:pPr>
        <w:spacing w:after="200"/>
      </w:pPr>
      <w:r>
        <w:rPr>
          <w:rFonts w:ascii="Arial" w:cs="Arial" w:eastAsia="Arial" w:hAnsi="Arial"/>
        </w:rPr>
        <w:t xml:space="preserve"/>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26"/>
                <w:szCs w:val="26"/>
              </w:rPr>
              <w:t xml:space="preserve">🥇  Category 3 — Commodities (Metals, Energy)</w:t>
            </w:r>
          </w:p>
        </w:tc>
      </w:tr>
    </w:tbl>
    <w:p>
      <w:pPr>
        <w:spacing w:after="120"/>
      </w:pPr>
      <w:r>
        <w:rPr>
          <w:rFonts w:ascii="Arial" w:cs="Arial" w:eastAsia="Arial" w:hAnsi="Arial"/>
        </w:rPr>
        <w:t xml:space="preserve"/>
      </w:r>
    </w:p>
    <w:p>
      <w:pPr>
        <w:spacing w:after="120" w:before="240"/>
      </w:pPr>
      <w:r>
        <w:rPr>
          <w:rFonts w:ascii="Arial" w:cs="Arial" w:eastAsia="Arial" w:hAnsi="Arial"/>
          <w:b/>
          <w:bCs/>
          <w:color w:val="B45309"/>
          <w:sz w:val="22"/>
          <w:szCs w:val="22"/>
        </w:rPr>
        <w:t xml:space="preserve">Overview</w:t>
      </w:r>
    </w:p>
    <w:p>
      <w:pPr>
        <w:spacing w:after="100"/>
      </w:pPr>
      <w:r>
        <w:rPr>
          <w:rFonts w:ascii="Arial" w:cs="Arial" w:eastAsia="Arial" w:hAnsi="Arial"/>
          <w:color w:val="1A1A1A"/>
          <w:sz w:val="19"/>
          <w:szCs w:val="19"/>
        </w:rPr>
        <w:t xml:space="preserve">Commodities are traded globally but have market hours constraints for some products. Gold and Silver (XAU, XAG) trade nearly 24/5 with the London fix twice daily. WTI Crude Oil has the same market hours as Forex. These are strong diversification markets for a crypto-native audience because commodities behave differently from crypto, giving users genuine hedging and speculation opportunities on non-correlated assets.</w:t>
      </w:r>
    </w:p>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Commodity feeds — Ethereum mainnet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1300"/>
        <w:gridCol w:w="1800"/>
        <w:gridCol w:w="2338"/>
      </w:tblGrid>
      <w:tr>
        <w:trPr>
          <w:tblHeader/>
        </w:trPr>
        <w:tc>
          <w:tcPr>
            <w:tcW w:type="dxa" w:w="2400"/>
            <w:gridSpan w:val="1"/>
            <w:tcBorders>
              <w:top w:val="single" w:color="B45309" w:sz="4"/>
              <w:left w:val="single" w:color="B45309" w:sz="4"/>
              <w:bottom w:val="single" w:color="B45309" w:sz="4"/>
              <w:right w:val="single" w:color="B45309" w:sz="4"/>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800"/>
            <w:gridSpan w:val="1"/>
            <w:tcBorders>
              <w:top w:val="single" w:color="B45309" w:sz="4"/>
              <w:left w:val="single" w:color="B45309" w:sz="4"/>
              <w:bottom w:val="single" w:color="B45309" w:sz="4"/>
              <w:right w:val="single" w:color="B45309" w:sz="4"/>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Proxy address (Ethereum)</w:t>
            </w:r>
          </w:p>
        </w:tc>
        <w:tc>
          <w:tcPr>
            <w:tcW w:type="dxa" w:w="1300"/>
            <w:gridSpan w:val="1"/>
            <w:tcBorders>
              <w:top w:val="single" w:color="B45309" w:sz="4"/>
              <w:left w:val="single" w:color="B45309" w:sz="4"/>
              <w:bottom w:val="single" w:color="B45309" w:sz="4"/>
              <w:right w:val="single" w:color="B45309" w:sz="4"/>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Decimals</w:t>
            </w:r>
          </w:p>
        </w:tc>
        <w:tc>
          <w:tcPr>
            <w:tcW w:type="dxa" w:w="1800"/>
            <w:gridSpan w:val="1"/>
            <w:tcBorders>
              <w:top w:val="single" w:color="B45309" w:sz="4"/>
              <w:left w:val="single" w:color="B45309" w:sz="4"/>
              <w:bottom w:val="single" w:color="B45309" w:sz="4"/>
              <w:right w:val="single" w:color="B45309" w:sz="4"/>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Heartbeat</w:t>
            </w:r>
          </w:p>
        </w:tc>
        <w:tc>
          <w:tcPr>
            <w:tcW w:type="dxa" w:w="2338"/>
            <w:gridSpan w:val="1"/>
            <w:tcBorders>
              <w:top w:val="single" w:color="B45309" w:sz="4"/>
              <w:left w:val="single" w:color="B45309" w:sz="4"/>
              <w:bottom w:val="single" w:color="B45309" w:sz="4"/>
              <w:right w:val="single" w:color="B45309" w:sz="4"/>
            </w:tcBorders>
            <w:shd w:fill="B45309"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B45309"/>
                <w:sz w:val="17"/>
                <w:szCs w:val="17"/>
              </w:rPr>
              <w:t xml:space="preserve">XAU / USD (Gold)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0x214eD9Da11D2fbe465a6fc601a91E62EbEc1a0D6</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0.5%</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London fix 10:30am and 3:00pm UTC. Use daily manual rounds.</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B45309"/>
                <w:sz w:val="17"/>
                <w:szCs w:val="17"/>
              </w:rPr>
              <w:t xml:space="preserve">XAG / USD (Silver)</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0x379589227b15F1a12195D3f2d90bBc9F31f95235</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1%</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Higher volatility than Gold. Daily manual.</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B45309"/>
                <w:sz w:val="17"/>
                <w:szCs w:val="17"/>
              </w:rPr>
              <w:t xml:space="preserve">WTI / USD (Crude Oil)</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0xf0d76D70227fE6f23e8B06DB21C55d5cc0df08E9</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86400s / 1%</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Only updates during CME/NYMEX hours. No weekend rounds.</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B45309"/>
                <w:sz w:val="17"/>
                <w:szCs w:val="17"/>
              </w:rPr>
              <w:t xml:space="preserve">XCU / USD (Copper)</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Check Chainlink catalog — custom/limited availability</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Custom</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Industrial metal. Useful for macro direction markets.</w:t>
            </w:r>
          </w:p>
        </w:tc>
      </w:tr>
    </w:tbl>
    <w:p>
      <w:pPr>
        <w:spacing w:after="10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20"/>
        <w:gridCol w:w="9518"/>
      </w:tblGrid>
      <w:tr>
        <w:tc>
          <w:tcPr>
            <w:tcW w:type="dxa" w:w="120"/>
            <w:gridSpan w:val="1"/>
            <w:tcBorders>
              <w:top w:val="none" w:color="FFFFFF" w:sz="0"/>
              <w:left w:val="none" w:color="FFFFFF" w:sz="0"/>
              <w:bottom w:val="none" w:color="FFFFFF" w:sz="0"/>
              <w:right w:val="none" w:color="FFFFFF" w:sz="0"/>
            </w:tcBorders>
            <w:shd w:fill="1D9E75" w:val="clear"/>
            <w:tcMar>
              <w:top w:type="dxa" w:w="80"/>
              <w:left w:type="dxa" w:w="140"/>
              <w:bottom w:type="dxa" w:w="80"/>
              <w:right w:type="dxa" w:w="140"/>
            </w:tcMar>
            <w:vAlign w:val="top"/>
          </w:tcPr>
          <w:p>
            <w:pPr>
              <w:spacing w:after="0"/>
            </w:pPr>
            <w:r>
              <w:rPr>
                <w:rFonts w:ascii="Arial" w:cs="Arial" w:eastAsia="Arial" w:hAnsi="Arial"/>
              </w:rPr>
              <w:t xml:space="preserve"/>
            </w:r>
          </w:p>
        </w:tc>
        <w:tc>
          <w:tcPr>
            <w:tcW w:type="dxa" w:w="9518"/>
            <w:gridSpan w:val="1"/>
            <w:tcBorders>
              <w:top w:val="none" w:color="FFFFFF" w:sz="0"/>
              <w:left w:val="none" w:color="FFFFFF" w:sz="0"/>
              <w:bottom w:val="none" w:color="FFFFFF" w:sz="0"/>
              <w:right w:val="none" w:color="FFFFFF" w:sz="0"/>
            </w:tcBorders>
            <w:shd w:fill="F4F4F2" w:val="clear"/>
            <w:tcMar>
              <w:top w:type="dxa" w:w="80"/>
              <w:left w:type="dxa" w:w="140"/>
              <w:bottom w:type="dxa" w:w="80"/>
              <w:right w:type="dxa" w:w="140"/>
            </w:tcMar>
            <w:vAlign w:val="top"/>
          </w:tcPr>
          <w:p>
            <w:pPr>
              <w:spacing w:after="60"/>
            </w:pPr>
            <w:r>
              <w:rPr>
                <w:rFonts w:ascii="Arial" w:cs="Arial" w:eastAsia="Arial" w:hAnsi="Arial"/>
                <w:color w:val="1A1A1A"/>
                <w:sz w:val="18"/>
                <w:szCs w:val="18"/>
              </w:rPr>
              <w:t xml:space="preserve">Gold (XAU/USD) is the recommended first commodity market for RetroPick because:</w:t>
            </w:r>
          </w:p>
          <w:p>
            <w:pPr>
              <w:spacing w:after="60"/>
            </w:pPr>
            <w:r>
              <w:rPr>
                <w:rFonts w:ascii="Arial" w:cs="Arial" w:eastAsia="Arial" w:hAnsi="Arial"/>
                <w:color w:val="1A1A1A"/>
                <w:sz w:val="18"/>
                <w:szCs w:val="18"/>
              </w:rPr>
              <w:t xml:space="preserve">1. It has the highest global brand recognition outside crypto.</w:t>
            </w:r>
          </w:p>
          <w:p>
            <w:pPr>
              <w:spacing w:after="60"/>
            </w:pPr>
            <w:r>
              <w:rPr>
                <w:rFonts w:ascii="Arial" w:cs="Arial" w:eastAsia="Arial" w:hAnsi="Arial"/>
                <w:color w:val="1A1A1A"/>
                <w:sz w:val="18"/>
                <w:szCs w:val="18"/>
              </w:rPr>
              <w:t xml:space="preserve">2. The Chainlink feed is rated Low Market Pricing Risk.</w:t>
            </w:r>
          </w:p>
          <w:p>
            <w:pPr>
              <w:spacing w:after="60"/>
            </w:pPr>
            <w:r>
              <w:rPr>
                <w:rFonts w:ascii="Arial" w:cs="Arial" w:eastAsia="Arial" w:hAnsi="Arial"/>
                <w:color w:val="1A1A1A"/>
                <w:sz w:val="18"/>
                <w:szCs w:val="18"/>
              </w:rPr>
              <w:t xml:space="preserve">3. Daily 'Gold above/below $X' Threshold markets require no rolling complexity.</w:t>
            </w:r>
          </w:p>
          <w:p>
            <w:pPr>
              <w:spacing w:after="60"/>
            </w:pPr>
            <w:r>
              <w:rPr>
                <w:rFonts w:ascii="Arial" w:cs="Arial" w:eastAsia="Arial" w:hAnsi="Arial"/>
                <w:color w:val="1A1A1A"/>
                <w:sz w:val="18"/>
                <w:szCs w:val="18"/>
              </w:rPr>
              <w:t xml:space="preserve">4. Gold and crypto are often inversely correlated — genuine diversification for users.</w:t>
            </w:r>
          </w:p>
        </w:tc>
      </w:tr>
    </w:tbl>
    <w:p>
      <w:pPr>
        <w:spacing w:after="200"/>
      </w:pPr>
      <w:r>
        <w:rPr>
          <w:rFonts w:ascii="Arial" w:cs="Arial" w:eastAsia="Arial" w:hAnsi="Arial"/>
        </w:rPr>
        <w:t xml:space="preserve"/>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26"/>
                <w:szCs w:val="26"/>
              </w:rPr>
              <w:t xml:space="preserve">📈  Category 4 — Equities &amp; Equity Indices</w:t>
            </w:r>
          </w:p>
        </w:tc>
      </w:tr>
    </w:tbl>
    <w:p>
      <w:pPr>
        <w:spacing w:after="120"/>
      </w:pPr>
      <w:r>
        <w:rPr>
          <w:rFonts w:ascii="Arial" w:cs="Arial" w:eastAsia="Arial" w:hAnsi="Arial"/>
        </w:rPr>
        <w:t xml:space="preserve"/>
      </w:r>
    </w:p>
    <w:p>
      <w:pPr>
        <w:spacing w:after="120" w:before="240"/>
      </w:pPr>
      <w:r>
        <w:rPr>
          <w:rFonts w:ascii="Arial" w:cs="Arial" w:eastAsia="Arial" w:hAnsi="Arial"/>
          <w:b/>
          <w:bCs/>
          <w:color w:val="C0392B"/>
          <w:sz w:val="22"/>
          <w:szCs w:val="22"/>
        </w:rPr>
        <w:t xml:space="preserve">Overview</w:t>
      </w:r>
    </w:p>
    <w:p>
      <w:pPr>
        <w:spacing w:after="100"/>
      </w:pPr>
      <w:r>
        <w:rPr>
          <w:rFonts w:ascii="Arial" w:cs="Arial" w:eastAsia="Arial" w:hAnsi="Arial"/>
          <w:color w:val="1A1A1A"/>
          <w:sz w:val="19"/>
          <w:szCs w:val="19"/>
        </w:rPr>
        <w:t xml:space="preserve">Chainlink has significantly expanded its equity data coverage as part of its tokenised RWA push. As of 2025-2026, Chainlink publishes feeds for major US equities (AAPL, MSFT, NVDA, TSLA, AMZN, META, GOOGL, etc.), ETFs (SPY/QQQ/VTI), and indices (S&amp;P 500 equivalent via tokenised products). CRITICAL CONSTRAINT: Equity feeds only update during NYSE/NASDAQ market hours (09:30–16:00 ET, Monday–Friday). UK ETF feeds are 15 minutes delayed. Do not use these feeds outside their operating windows.</w:t>
      </w:r>
    </w:p>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Equity index and ETF feeds — Ethereum mainnet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1300"/>
        <w:gridCol w:w="1800"/>
        <w:gridCol w:w="2338"/>
      </w:tblGrid>
      <w:tr>
        <w:trPr>
          <w:tblHeader/>
        </w:trPr>
        <w:tc>
          <w:tcPr>
            <w:tcW w:type="dxa" w:w="24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8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Proxy address (Ethereum)</w:t>
            </w:r>
          </w:p>
        </w:tc>
        <w:tc>
          <w:tcPr>
            <w:tcW w:type="dxa" w:w="13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Decimals</w:t>
            </w:r>
          </w:p>
        </w:tc>
        <w:tc>
          <w:tcPr>
            <w:tcW w:type="dxa" w:w="18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Market hours (ET)</w:t>
            </w:r>
          </w:p>
        </w:tc>
        <w:tc>
          <w:tcPr>
            <w:tcW w:type="dxa" w:w="2338"/>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QQQ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Via Ondo Finance tokenised / check Chainlink catalog</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Nasdaq-100 ETF. QQQx/USD also available on data.chain.link.</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VTI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Via tokenised equity feed</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Vanguard Total Market ETF. Broad US market exposure.</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EWJ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EWJ/USD feed</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iShares Japan ETF. Good Asia-Pacific connection for SEA users.</w:t>
            </w:r>
          </w:p>
        </w:tc>
      </w:tr>
    </w:tbl>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Individual equity feeds — Ethereum mainnet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1300"/>
        <w:gridCol w:w="1800"/>
        <w:gridCol w:w="2338"/>
      </w:tblGrid>
      <w:tr>
        <w:trPr>
          <w:tblHeader/>
        </w:trPr>
        <w:tc>
          <w:tcPr>
            <w:tcW w:type="dxa" w:w="24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8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Source</w:t>
            </w:r>
          </w:p>
        </w:tc>
        <w:tc>
          <w:tcPr>
            <w:tcW w:type="dxa" w:w="13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Decimals</w:t>
            </w:r>
          </w:p>
        </w:tc>
        <w:tc>
          <w:tcPr>
            <w:tcW w:type="dxa" w:w="1800"/>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Market hours (ET)</w:t>
            </w:r>
          </w:p>
        </w:tc>
        <w:tc>
          <w:tcPr>
            <w:tcW w:type="dxa" w:w="2338"/>
            <w:gridSpan w:val="1"/>
            <w:tcBorders>
              <w:top w:val="single" w:color="C0392B" w:sz="4"/>
              <w:left w:val="single" w:color="C0392B" w:sz="4"/>
              <w:bottom w:val="single" w:color="C0392B" w:sz="4"/>
              <w:right w:val="single" w:color="C0392B" w:sz="4"/>
            </w:tcBorders>
            <w:shd w:fill="C0392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AAPL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AAPL/USD</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Apple. Highest by market cap. Strong user recognition.</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MSFT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MSFT/USD</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Microsoft.</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NVDA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NVDA/USD</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NVIDIA. High volatility = strong Direction market candidate.</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TSLA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TSLA/USD</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Tesla. High volatility and strong retail interest.</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AMZN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AMZN/USD</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Amazon.</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META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META/USD</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Meta Platforms.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NFLX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NFLX/USD</w:t>
            </w:r>
          </w:p>
        </w:tc>
        <w:tc>
          <w:tcPr>
            <w:tcW w:type="dxa" w:w="13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Netflix.</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C0392B"/>
                <w:sz w:val="17"/>
                <w:szCs w:val="17"/>
              </w:rPr>
              <w:t xml:space="preserve">JPM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data.chain.link JPM/USD</w:t>
            </w:r>
          </w:p>
        </w:tc>
        <w:tc>
          <w:tcPr>
            <w:tcW w:type="dxa" w:w="13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8</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09:30–16:00 Mon–Fri</w:t>
            </w:r>
          </w:p>
        </w:tc>
        <w:tc>
          <w:tcPr>
            <w:tcW w:type="dxa" w:w="23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JP Morgan. Financial sector exposure.</w:t>
            </w:r>
          </w:p>
        </w:tc>
      </w:tr>
    </w:tbl>
    <w:p>
      <w:pPr>
        <w:spacing w:after="10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20"/>
        <w:gridCol w:w="9518"/>
      </w:tblGrid>
      <w:tr>
        <w:tc>
          <w:tcPr>
            <w:tcW w:type="dxa" w:w="120"/>
            <w:gridSpan w:val="1"/>
            <w:tcBorders>
              <w:top w:val="none" w:color="FFFFFF" w:sz="0"/>
              <w:left w:val="none" w:color="FFFFFF" w:sz="0"/>
              <w:bottom w:val="none" w:color="FFFFFF" w:sz="0"/>
              <w:right w:val="none" w:color="FFFFFF" w:sz="0"/>
            </w:tcBorders>
            <w:shd w:fill="1D9E75" w:val="clear"/>
            <w:tcMar>
              <w:top w:type="dxa" w:w="80"/>
              <w:left w:type="dxa" w:w="140"/>
              <w:bottom w:type="dxa" w:w="80"/>
              <w:right w:type="dxa" w:w="140"/>
            </w:tcMar>
            <w:vAlign w:val="top"/>
          </w:tcPr>
          <w:p>
            <w:pPr>
              <w:spacing w:after="0"/>
            </w:pPr>
            <w:r>
              <w:rPr>
                <w:rFonts w:ascii="Arial" w:cs="Arial" w:eastAsia="Arial" w:hAnsi="Arial"/>
              </w:rPr>
              <w:t xml:space="preserve"/>
            </w:r>
          </w:p>
        </w:tc>
        <w:tc>
          <w:tcPr>
            <w:tcW w:type="dxa" w:w="9518"/>
            <w:gridSpan w:val="1"/>
            <w:tcBorders>
              <w:top w:val="none" w:color="FFFFFF" w:sz="0"/>
              <w:left w:val="none" w:color="FFFFFF" w:sz="0"/>
              <w:bottom w:val="none" w:color="FFFFFF" w:sz="0"/>
              <w:right w:val="none" w:color="FFFFFF" w:sz="0"/>
            </w:tcBorders>
            <w:shd w:fill="F4F4F2" w:val="clear"/>
            <w:tcMar>
              <w:top w:type="dxa" w:w="80"/>
              <w:left w:type="dxa" w:w="140"/>
              <w:bottom w:type="dxa" w:w="80"/>
              <w:right w:type="dxa" w:w="140"/>
            </w:tcMar>
            <w:vAlign w:val="top"/>
          </w:tcPr>
          <w:p>
            <w:pPr>
              <w:spacing w:after="60"/>
            </w:pPr>
            <w:r>
              <w:rPr>
                <w:rFonts w:ascii="Arial" w:cs="Arial" w:eastAsia="Arial" w:hAnsi="Arial"/>
                <w:color w:val="1A1A1A"/>
                <w:sz w:val="18"/>
                <w:szCs w:val="18"/>
              </w:rPr>
              <w:t xml:space="preserve">Regulatory note on equity markets: In the UAE, contracts on tradable financial instruments are classified as financial derivatives (Reed Smith Feb 2026 guidance). Equity feed markets should be framed as 'price direction contracts on publicly traded securities' — the same framing as crypto Direction markets. This is consistent with RetroPick's non-custodial, oracle-resolved architecture.</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Unlike crypto, equity markets are closed on weekends and public holidays. The keeper bot must check market hours before scheduling rounds and must NOT open epochs that span a market close.</w:t>
            </w:r>
          </w:p>
        </w:tc>
      </w:tr>
    </w:tbl>
    <w:p>
      <w:pPr>
        <w:spacing w:after="200"/>
      </w:pPr>
      <w:r>
        <w:rPr>
          <w:rFonts w:ascii="Arial" w:cs="Arial" w:eastAsia="Arial" w:hAnsi="Arial"/>
        </w:rPr>
        <w:t xml:space="preserve"/>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6C3483" w:val="clear"/>
            <w:tcMar>
              <w:top w:type="dxa" w:w="80"/>
              <w:left w:type="dxa" w:w="140"/>
              <w:bottom w:type="dxa" w:w="80"/>
              <w:right w:type="dxa" w:w="140"/>
            </w:tcMar>
            <w:vAlign w:val="top"/>
          </w:tcPr>
          <w:p>
            <w:pPr>
              <w:spacing w:after="0"/>
            </w:pPr>
            <w:r>
              <w:rPr>
                <w:rFonts w:ascii="Arial" w:cs="Arial" w:eastAsia="Arial" w:hAnsi="Arial"/>
                <w:b/>
                <w:bCs/>
                <w:color w:val="FFFFFF"/>
                <w:sz w:val="26"/>
                <w:szCs w:val="26"/>
              </w:rPr>
              <w:t xml:space="preserve">⛓  Category 5 — DeFi / On-chain Data</w:t>
            </w:r>
          </w:p>
        </w:tc>
      </w:tr>
    </w:tbl>
    <w:p>
      <w:pPr>
        <w:spacing w:after="120"/>
      </w:pPr>
      <w:r>
        <w:rPr>
          <w:rFonts w:ascii="Arial" w:cs="Arial" w:eastAsia="Arial" w:hAnsi="Arial"/>
        </w:rPr>
        <w:t xml:space="preserve"/>
      </w:r>
    </w:p>
    <w:p>
      <w:pPr>
        <w:spacing w:after="120" w:before="240"/>
      </w:pPr>
      <w:r>
        <w:rPr>
          <w:rFonts w:ascii="Arial" w:cs="Arial" w:eastAsia="Arial" w:hAnsi="Arial"/>
          <w:b/>
          <w:bCs/>
          <w:color w:val="6C3483"/>
          <w:sz w:val="22"/>
          <w:szCs w:val="22"/>
        </w:rPr>
        <w:t xml:space="preserve">Overview</w:t>
      </w:r>
    </w:p>
    <w:p>
      <w:pPr>
        <w:spacing w:after="100"/>
      </w:pPr>
      <w:r>
        <w:rPr>
          <w:rFonts w:ascii="Arial" w:cs="Arial" w:eastAsia="Arial" w:hAnsi="Arial"/>
          <w:color w:val="1A1A1A"/>
          <w:sz w:val="19"/>
          <w:szCs w:val="19"/>
        </w:rPr>
        <w:t xml:space="preserve">Chainlink publishes feeds for major DeFi protocol tokens and stablecoins. These are relevant because DeFi users understand these assets deeply and find Direction markets on them engaging. Stablecoin feeds can support 'will USDT depeg?' style Threshold markets (extreme events). Some stablecoin feeds are used for health monitoring rather than price speculation — understand the risk tier before using.</w:t>
      </w:r>
    </w:p>
    <w:p>
      <w:pPr>
        <w:spacing w:after="80"/>
      </w:pPr>
      <w:r>
        <w:rPr>
          <w:rFonts w:ascii="Arial" w:cs="Arial" w:eastAsia="Arial" w:hAnsi="Arial"/>
        </w:rPr>
        <w:t xml:space="preserve"/>
      </w:r>
    </w:p>
    <w:p>
      <w:pPr>
        <w:spacing w:after="80" w:before="180"/>
      </w:pPr>
      <w:r>
        <w:rPr>
          <w:rFonts w:ascii="Arial" w:cs="Arial" w:eastAsia="Arial" w:hAnsi="Arial"/>
          <w:b/>
          <w:bCs/>
          <w:color w:val="2E4057"/>
          <w:sz w:val="20"/>
          <w:szCs w:val="20"/>
        </w:rPr>
        <w:t xml:space="preserve">DeFi and stablecoin feeds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1300"/>
        <w:gridCol w:w="1800"/>
        <w:gridCol w:w="2338"/>
      </w:tblGrid>
      <w:tr>
        <w:trPr>
          <w:tblHeader/>
        </w:trPr>
        <w:tc>
          <w:tcPr>
            <w:tcW w:type="dxa" w:w="2400"/>
            <w:gridSpan w:val="1"/>
            <w:tcBorders>
              <w:top w:val="single" w:color="6C3483" w:sz="4"/>
              <w:left w:val="single" w:color="6C3483" w:sz="4"/>
              <w:bottom w:val="single" w:color="6C3483" w:sz="4"/>
              <w:right w:val="single" w:color="6C3483" w:sz="4"/>
            </w:tcBorders>
            <w:shd w:fill="6C3483"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Feed pair</w:t>
            </w:r>
          </w:p>
        </w:tc>
        <w:tc>
          <w:tcPr>
            <w:tcW w:type="dxa" w:w="1800"/>
            <w:gridSpan w:val="1"/>
            <w:tcBorders>
              <w:top w:val="single" w:color="6C3483" w:sz="4"/>
              <w:left w:val="single" w:color="6C3483" w:sz="4"/>
              <w:bottom w:val="single" w:color="6C3483" w:sz="4"/>
              <w:right w:val="single" w:color="6C3483" w:sz="4"/>
            </w:tcBorders>
            <w:shd w:fill="6C3483"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Proxy address (Ethereum)</w:t>
            </w:r>
          </w:p>
        </w:tc>
        <w:tc>
          <w:tcPr>
            <w:tcW w:type="dxa" w:w="1800"/>
            <w:gridSpan w:val="1"/>
            <w:tcBorders>
              <w:top w:val="single" w:color="6C3483" w:sz="4"/>
              <w:left w:val="single" w:color="6C3483" w:sz="4"/>
              <w:bottom w:val="single" w:color="6C3483" w:sz="4"/>
              <w:right w:val="single" w:color="6C3483" w:sz="4"/>
            </w:tcBorders>
            <w:shd w:fill="6C3483"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Risk tier</w:t>
            </w:r>
          </w:p>
        </w:tc>
        <w:tc>
          <w:tcPr>
            <w:tcW w:type="dxa" w:w="3038"/>
            <w:gridSpan w:val="1"/>
            <w:tcBorders>
              <w:top w:val="single" w:color="6C3483" w:sz="4"/>
              <w:left w:val="single" w:color="6C3483" w:sz="4"/>
              <w:bottom w:val="single" w:color="6C3483" w:sz="4"/>
              <w:right w:val="single" w:color="6C3483" w:sz="4"/>
            </w:tcBorders>
            <w:shd w:fill="6C3483"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Notes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AAVE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0x547a514d5e3769680Ce22B2361c10Ea13619e8a9</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Governance token. Strong DeFi community interest.</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UNI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0x553303d460EE0afB37EdFf9bE42922D8FF63220e</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Uniswap governance. Large user base.</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CRV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0xCd627aA160A6fA45Eb793D19Ef54f5062F20f33f</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Medium</w:t>
            </w:r>
          </w:p>
        </w:tc>
        <w:tc>
          <w:tcPr>
            <w:tcW w:type="dxa" w:w="30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Curve Finance. Reasonable liquidity.</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MKR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0xec1D1B3b0443256cc3860e24a46F108e699484Aa</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MakerDAO governance.</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USDC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0x8fFfFfd4AfB6115b954Bd326cbe7B4BA576818f6</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Stablecoin peg monitor. Use for depeg Threshold events only.</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USDT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0x3E7d1eAB13ad0104d2750B8863b489D65364e32D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Same as USDC. Very low volatility except during depeg events.</w:t>
            </w:r>
          </w:p>
        </w:tc>
      </w:tr>
      <w:tr>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DAI / USD</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0xAed0c38402a5d19df6E4c03F4E2DceD6e29c1ee9</w:t>
            </w:r>
          </w:p>
        </w:tc>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Low</w:t>
            </w:r>
          </w:p>
        </w:tc>
        <w:tc>
          <w:tcPr>
            <w:tcW w:type="dxa" w:w="30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MakerDAO stablecoin.</w:t>
            </w:r>
          </w:p>
        </w:tc>
      </w:tr>
      <w:tr>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6C3483"/>
                <w:sz w:val="17"/>
                <w:szCs w:val="17"/>
              </w:rPr>
              <w:t xml:space="preserve">FRAX / USD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0xB9E1E3A9feFf48998E45Fa90847ed4D467E8BcfD</w:t>
            </w:r>
          </w:p>
        </w:tc>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Medium</w:t>
            </w:r>
          </w:p>
        </w:tc>
        <w:tc>
          <w:tcPr>
            <w:tcW w:type="dxa" w:w="30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Algorithmic stablecoin. Higher risk.</w:t>
            </w:r>
          </w:p>
        </w:tc>
      </w:tr>
    </w:tbl>
    <w:p>
      <w:pPr>
        <w:spacing w:after="200"/>
      </w:pPr>
      <w:r>
        <w:rPr>
          <w:rFonts w:ascii="Arial" w:cs="Arial" w:eastAsia="Arial" w:hAnsi="Arial"/>
        </w:rPr>
        <w:t xml:space="preserve"/>
      </w:r>
    </w:p>
    <w:p>
      <w:r>
        <w:br w:type="page"/>
      </w:r>
    </w:p>
    <w:p>
      <w:pPr>
        <w:pBdr>
          <w:bottom w:val="single" w:color="1D9E75" w:sz="8" w:space="4"/>
        </w:pBdr>
        <w:spacing w:after="180" w:before="360"/>
      </w:pPr>
      <w:r>
        <w:rPr>
          <w:rFonts w:ascii="Arial" w:cs="Arial" w:eastAsia="Arial" w:hAnsi="Arial"/>
          <w:b/>
          <w:bCs/>
          <w:color w:val="1B3A6B"/>
          <w:sz w:val="28"/>
          <w:szCs w:val="28"/>
        </w:rPr>
        <w:t xml:space="preserve">2. Market Type × Asset Class Matrix</w:t>
      </w:r>
    </w:p>
    <w:p>
      <w:pPr>
        <w:spacing w:after="100"/>
      </w:pPr>
      <w:r>
        <w:rPr>
          <w:rFonts w:ascii="Arial" w:cs="Arial" w:eastAsia="Arial" w:hAnsi="Arial"/>
          <w:color w:val="1A1A1A"/>
          <w:sz w:val="19"/>
          <w:szCs w:val="19"/>
        </w:rPr>
        <w:t xml:space="preserve">Each resolver type applies differently to each asset class. This matrix maps the combination to the recommended product format and keeper mode.</w:t>
      </w:r>
    </w:p>
    <w:p>
      <w:pPr>
        <w:spacing w:after="8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200"/>
        <w:gridCol w:w="1500"/>
        <w:gridCol w:w="1500"/>
        <w:gridCol w:w="1500"/>
        <w:gridCol w:w="1700"/>
        <w:gridCol w:w="1238"/>
      </w:tblGrid>
      <w:tr>
        <w:trPr>
          <w:tblHeader/>
        </w:trPr>
        <w:tc>
          <w:tcPr>
            <w:tcW w:type="dxa" w:w="22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Asset class</w:t>
            </w:r>
          </w:p>
        </w:tc>
        <w:tc>
          <w:tcPr>
            <w:tcW w:type="dxa" w:w="15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Direction (rolling)</w:t>
            </w:r>
          </w:p>
        </w:tc>
        <w:tc>
          <w:tcPr>
            <w:tcW w:type="dxa" w:w="15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Direction (manual)</w:t>
            </w:r>
          </w:p>
        </w:tc>
        <w:tc>
          <w:tcPr>
            <w:tcW w:type="dxa" w:w="15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Threshold</w:t>
            </w:r>
          </w:p>
        </w:tc>
        <w:tc>
          <w:tcPr>
            <w:tcW w:type="dxa" w:w="17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RangeClose</w:t>
            </w:r>
          </w:p>
        </w:tc>
        <w:tc>
          <w:tcPr>
            <w:tcW w:type="dxa" w:w="1238"/>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Priority</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Crypto (BTC/ETH/SOL)</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Primary — 5m, 15m, 1h</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Daily/Weekly</w:t>
            </w:r>
          </w:p>
        </w:tc>
        <w:tc>
          <w:tcPr>
            <w:tcW w:type="dxa" w:w="17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2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P1 — Launch</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Gold (XAU/USD)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Rolling only in 24/5 window</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recommended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fix price</w:t>
            </w:r>
          </w:p>
        </w:tc>
        <w:tc>
          <w:tcPr>
            <w:tcW w:type="dxa" w:w="17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2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P1 — Launch</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Forex major pairs (EUR/GBP/JPY)</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Session hours only</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Intraday manual</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fix</w:t>
            </w:r>
          </w:p>
        </w:tc>
        <w:tc>
          <w:tcPr>
            <w:tcW w:type="dxa" w:w="17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close</w:t>
            </w:r>
          </w:p>
        </w:tc>
        <w:tc>
          <w:tcPr>
            <w:tcW w:type="dxa" w:w="12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P2 — Post-launch</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Silver (XAG/USD)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Like Gold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fix</w:t>
            </w:r>
          </w:p>
        </w:tc>
        <w:tc>
          <w:tcPr>
            <w:tcW w:type="dxa" w:w="17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2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P2 — Post-launch</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Crude Oil (WTI/USD)</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CME hours only</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close</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7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2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P2 — Post-launch</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US Equities (AAPL/NVDA)</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NYSE hours only</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close</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Earnings day</w:t>
            </w:r>
          </w:p>
        </w:tc>
        <w:tc>
          <w:tcPr>
            <w:tcW w:type="dxa" w:w="17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close</w:t>
            </w:r>
          </w:p>
        </w:tc>
        <w:tc>
          <w:tcPr>
            <w:tcW w:type="dxa" w:w="12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P3 — Phase 2</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ETFs (QQQ/VTI)</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Market hours only</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 close</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Daily/Weekly</w:t>
            </w:r>
          </w:p>
        </w:tc>
        <w:tc>
          <w:tcPr>
            <w:tcW w:type="dxa" w:w="17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Weekly</w:t>
            </w:r>
          </w:p>
        </w:tc>
        <w:tc>
          <w:tcPr>
            <w:tcW w:type="dxa" w:w="12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P3 — Phase 2</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DeFi tokens (AAVE/UNI)</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Rolling 15m·1h</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7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Daily</w:t>
            </w:r>
          </w:p>
        </w:tc>
        <w:tc>
          <w:tcPr>
            <w:tcW w:type="dxa" w:w="12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P2 — Post-launch</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Stablecoins (USDC/USDT)</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Too stable for Direction</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Too stable</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Depeg event only</w:t>
            </w:r>
          </w:p>
        </w:tc>
        <w:tc>
          <w:tcPr>
            <w:tcW w:type="dxa" w:w="17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 Too stable</w:t>
            </w:r>
          </w:p>
        </w:tc>
        <w:tc>
          <w:tcPr>
            <w:tcW w:type="dxa" w:w="12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P3 — Special events</w:t>
            </w:r>
          </w:p>
        </w:tc>
      </w:tr>
    </w:tbl>
    <w:p>
      <w:pPr>
        <w:spacing w:after="200"/>
      </w:pPr>
      <w:r>
        <w:rPr>
          <w:rFonts w:ascii="Arial" w:cs="Arial" w:eastAsia="Arial" w:hAnsi="Arial"/>
        </w:rPr>
        <w:t xml:space="preserve"/>
      </w:r>
    </w:p>
    <w:p>
      <w:r>
        <w:br w:type="page"/>
      </w:r>
    </w:p>
    <w:p>
      <w:pPr>
        <w:pBdr>
          <w:bottom w:val="single" w:color="1D9E75" w:sz="8" w:space="4"/>
        </w:pBdr>
        <w:spacing w:after="180" w:before="360"/>
      </w:pPr>
      <w:r>
        <w:rPr>
          <w:rFonts w:ascii="Arial" w:cs="Arial" w:eastAsia="Arial" w:hAnsi="Arial"/>
          <w:b/>
          <w:bCs/>
          <w:color w:val="1B3A6B"/>
          <w:sz w:val="28"/>
          <w:szCs w:val="28"/>
        </w:rPr>
        <w:t xml:space="preserve">3. Recommended Launch Roadmap</w:t>
      </w:r>
    </w:p>
    <w:p>
      <w:pPr>
        <w:spacing w:after="120" w:before="240"/>
      </w:pPr>
      <w:r>
        <w:rPr>
          <w:rFonts w:ascii="Arial" w:cs="Arial" w:eastAsia="Arial" w:hAnsi="Arial"/>
          <w:b/>
          <w:bCs/>
          <w:color w:val="1B3A6B"/>
          <w:sz w:val="22"/>
          <w:szCs w:val="22"/>
        </w:rPr>
        <w:t xml:space="preserve">Phase 1 — Launch (weeks 1–8)</w:t>
      </w:r>
    </w:p>
    <w:p>
      <w:pPr>
        <w:spacing w:after="100"/>
      </w:pPr>
      <w:r>
        <w:rPr>
          <w:rFonts w:ascii="Arial" w:cs="Arial" w:eastAsia="Arial" w:hAnsi="Arial"/>
          <w:color w:val="1A1A1A"/>
          <w:sz w:val="19"/>
          <w:szCs w:val="19"/>
        </w:rPr>
        <w:t xml:space="preserve">Start with markets where the feed is battle-tested (Low risk tier), the resolver is already implemented, and the user base already has context for the underlying asset.</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800"/>
        <w:gridCol w:w="2200"/>
        <w:gridCol w:w="1600"/>
        <w:gridCol w:w="1500"/>
        <w:gridCol w:w="2538"/>
      </w:tblGrid>
      <w:tr>
        <w:trPr>
          <w:tblHeader/>
        </w:trPr>
        <w:tc>
          <w:tcPr>
            <w:tcW w:type="dxa" w:w="18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Market ID</w:t>
            </w:r>
          </w:p>
        </w:tc>
        <w:tc>
          <w:tcPr>
            <w:tcW w:type="dxa" w:w="22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Template config</w:t>
            </w:r>
          </w:p>
        </w:tc>
        <w:tc>
          <w:tcPr>
            <w:tcW w:type="dxa" w:w="16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Resolver</w:t>
            </w:r>
          </w:p>
        </w:tc>
        <w:tc>
          <w:tcPr>
            <w:tcW w:type="dxa" w:w="15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Mode</w:t>
            </w:r>
          </w:p>
        </w:tc>
        <w:tc>
          <w:tcPr>
            <w:tcW w:type="dxa" w:w="2538"/>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Execution</w:t>
            </w:r>
          </w:p>
        </w:tc>
      </w:tr>
      <w:tr>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btc-5m</w:t>
            </w:r>
          </w:p>
        </w:tc>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BTC/USD, 5-min interval, 30s buffer</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Rolling</w:t>
            </w:r>
          </w:p>
        </w:tc>
        <w:tc>
          <w:tcPr>
            <w:tcW w:type="dxa" w:w="25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executeRollingRound every 5 min</w:t>
            </w:r>
          </w:p>
        </w:tc>
      </w:tr>
      <w:tr>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eth-5m</w:t>
            </w:r>
          </w:p>
        </w:tc>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ETH/USD, 5-min interval, 30s buffer</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Rolling</w:t>
            </w:r>
          </w:p>
        </w:tc>
        <w:tc>
          <w:tcPr>
            <w:tcW w:type="dxa" w:w="25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executeRollingRound every 5 min</w:t>
            </w:r>
          </w:p>
        </w:tc>
      </w:tr>
      <w:tr>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sol-15m</w:t>
            </w:r>
          </w:p>
        </w:tc>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SOL/USD, 15-min interval, 60s buffer</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Direction</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Rolling</w:t>
            </w:r>
          </w:p>
        </w:tc>
        <w:tc>
          <w:tcPr>
            <w:tcW w:type="dxa" w:w="25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executeRollingRound every 15 min</w:t>
            </w:r>
          </w:p>
        </w:tc>
      </w:tr>
      <w:tr>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btc-daily-threshold</w:t>
            </w:r>
          </w:p>
        </w:tc>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BTC/USD, daily, abs threshold = $X</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Threshold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Manual</w:t>
            </w:r>
          </w:p>
        </w:tc>
        <w:tc>
          <w:tcPr>
            <w:tcW w:type="dxa" w:w="25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openEpoch daily at 00:00 UTC</w:t>
            </w:r>
          </w:p>
        </w:tc>
      </w:tr>
      <w:tr>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eth-weekly-threshold</w:t>
            </w:r>
          </w:p>
        </w:tc>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ETH/USD, weekly, abs threshold = $Y</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Threshold</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Manual</w:t>
            </w:r>
          </w:p>
        </w:tc>
        <w:tc>
          <w:tcPr>
            <w:tcW w:type="dxa" w:w="25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openEpoch weekly on Monday 00:00 UTC</w:t>
            </w:r>
          </w:p>
        </w:tc>
      </w:tr>
      <w:tr>
        <w:tc>
          <w:tcPr>
            <w:tcW w:type="dxa" w:w="18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xau-daily-threshold</w:t>
            </w:r>
          </w:p>
        </w:tc>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XAU/USD, daily, abs threshold = $Z</w:t>
            </w:r>
          </w:p>
        </w:tc>
        <w:tc>
          <w:tcPr>
            <w:tcW w:type="dxa" w:w="16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Threshold</w:t>
            </w:r>
          </w:p>
        </w:tc>
        <w:tc>
          <w:tcPr>
            <w:tcW w:type="dxa" w:w="15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Manual</w:t>
            </w:r>
          </w:p>
        </w:tc>
        <w:tc>
          <w:tcPr>
            <w:tcW w:type="dxa" w:w="25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openEpoch daily at 07:00 UTC (pre-London fix)</w:t>
            </w:r>
          </w:p>
        </w:tc>
      </w:tr>
      <w:tr>
        <w:tc>
          <w:tcPr>
            <w:tcW w:type="dxa" w:w="18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bCs/>
                <w:color w:val="1D9E75"/>
                <w:sz w:val="17"/>
                <w:szCs w:val="17"/>
              </w:rPr>
              <w:t xml:space="preserve">btc-range-daily</w:t>
            </w:r>
          </w:p>
        </w:tc>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BTC/USD, daily, 3 range buckets</w:t>
            </w:r>
          </w:p>
        </w:tc>
        <w:tc>
          <w:tcPr>
            <w:tcW w:type="dxa" w:w="16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RangeClose</w:t>
            </w:r>
          </w:p>
        </w:tc>
        <w:tc>
          <w:tcPr>
            <w:tcW w:type="dxa" w:w="15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Manual</w:t>
            </w:r>
          </w:p>
        </w:tc>
        <w:tc>
          <w:tcPr>
            <w:tcW w:type="dxa" w:w="25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openEpoch daily at 00:00 UTC</w:t>
            </w:r>
          </w:p>
        </w:tc>
      </w:tr>
    </w:tbl>
    <w:p>
      <w:pPr>
        <w:spacing w:after="120"/>
      </w:pPr>
      <w:r>
        <w:rPr>
          <w:rFonts w:ascii="Arial" w:cs="Arial" w:eastAsia="Arial" w:hAnsi="Arial"/>
        </w:rPr>
        <w:t xml:space="preserve"/>
      </w:r>
    </w:p>
    <w:p>
      <w:pPr>
        <w:spacing w:after="120" w:before="240"/>
      </w:pPr>
      <w:r>
        <w:rPr>
          <w:rFonts w:ascii="Arial" w:cs="Arial" w:eastAsia="Arial" w:hAnsi="Arial"/>
          <w:b/>
          <w:bCs/>
          <w:color w:val="1B3A6B"/>
          <w:sz w:val="22"/>
          <w:szCs w:val="22"/>
        </w:rPr>
        <w:t xml:space="preserve">Phase 2 — Growth (months 3–6)</w:t>
      </w:r>
    </w:p>
    <w:p>
      <w:pPr>
        <w:spacing w:after="100"/>
      </w:pPr>
      <w:r>
        <w:rPr>
          <w:rFonts w:ascii="Arial" w:cs="Arial" w:eastAsia="Arial" w:hAnsi="Arial"/>
          <w:color w:val="1A1A1A"/>
          <w:sz w:val="19"/>
          <w:szCs w:val="19"/>
        </w:rPr>
        <w:t xml:space="preserve">Add forex pairs targeting SEA users, Silver, Oil daily close, and key DeFi tokens once Phase 1 is stable and monitored.</w:t>
      </w:r>
    </w:p>
    <w:p>
      <w:pPr>
        <w:pStyle w:val="ListParagraph"/>
        <w:numPr>
          <w:ilvl w:val="0"/>
          <w:numId w:val="2"/>
        </w:numPr>
        <w:spacing w:after="70"/>
      </w:pPr>
      <w:r>
        <w:rPr>
          <w:rFonts w:ascii="Arial" w:cs="Arial" w:eastAsia="Arial" w:hAnsi="Arial"/>
          <w:color w:val="2E4057"/>
          <w:sz w:val="19"/>
          <w:szCs w:val="19"/>
        </w:rPr>
        <w:t xml:space="preserve">EUR/USD Direction (1-hour rolling during London session)</w:t>
      </w:r>
    </w:p>
    <w:p>
      <w:pPr>
        <w:pStyle w:val="ListParagraph"/>
        <w:numPr>
          <w:ilvl w:val="0"/>
          <w:numId w:val="2"/>
        </w:numPr>
        <w:spacing w:after="70"/>
      </w:pPr>
      <w:r>
        <w:rPr>
          <w:rFonts w:ascii="Arial" w:cs="Arial" w:eastAsia="Arial" w:hAnsi="Arial"/>
          <w:color w:val="2E4057"/>
          <w:sz w:val="19"/>
          <w:szCs w:val="19"/>
        </w:rPr>
        <w:t xml:space="preserve">GBP/USD Threshold daily</w:t>
      </w:r>
    </w:p>
    <w:p>
      <w:pPr>
        <w:pStyle w:val="ListParagraph"/>
        <w:numPr>
          <w:ilvl w:val="0"/>
          <w:numId w:val="2"/>
        </w:numPr>
        <w:spacing w:after="70"/>
      </w:pPr>
      <w:r>
        <w:rPr>
          <w:rFonts w:ascii="Arial" w:cs="Arial" w:eastAsia="Arial" w:hAnsi="Arial"/>
          <w:color w:val="2E4057"/>
          <w:sz w:val="19"/>
          <w:szCs w:val="19"/>
        </w:rPr>
        <w:t xml:space="preserve">XAG/USD (Silver) daily Threshold</w:t>
      </w:r>
    </w:p>
    <w:p>
      <w:pPr>
        <w:pStyle w:val="ListParagraph"/>
        <w:numPr>
          <w:ilvl w:val="0"/>
          <w:numId w:val="2"/>
        </w:numPr>
        <w:spacing w:after="70"/>
      </w:pPr>
      <w:r>
        <w:rPr>
          <w:rFonts w:ascii="Arial" w:cs="Arial" w:eastAsia="Arial" w:hAnsi="Arial"/>
          <w:color w:val="2E4057"/>
          <w:sz w:val="19"/>
          <w:szCs w:val="19"/>
        </w:rPr>
        <w:t xml:space="preserve">WTI/USD daily close RangeClose</w:t>
      </w:r>
    </w:p>
    <w:p>
      <w:pPr>
        <w:pStyle w:val="ListParagraph"/>
        <w:numPr>
          <w:ilvl w:val="0"/>
          <w:numId w:val="2"/>
        </w:numPr>
        <w:spacing w:after="70"/>
      </w:pPr>
      <w:r>
        <w:rPr>
          <w:rFonts w:ascii="Arial" w:cs="Arial" w:eastAsia="Arial" w:hAnsi="Arial"/>
          <w:color w:val="2E4057"/>
          <w:sz w:val="19"/>
          <w:szCs w:val="19"/>
        </w:rPr>
        <w:t xml:space="preserve">LINK/USD and AAVE/USD 15-minute Direction</w:t>
      </w:r>
    </w:p>
    <w:p>
      <w:pPr>
        <w:pStyle w:val="ListParagraph"/>
        <w:numPr>
          <w:ilvl w:val="0"/>
          <w:numId w:val="2"/>
        </w:numPr>
        <w:spacing w:after="70"/>
      </w:pPr>
      <w:r>
        <w:rPr>
          <w:rFonts w:ascii="Arial" w:cs="Arial" w:eastAsia="Arial" w:hAnsi="Arial"/>
          <w:color w:val="2E4057"/>
          <w:sz w:val="19"/>
          <w:szCs w:val="19"/>
        </w:rPr>
        <w:t xml:space="preserve">ETH/USD daily RangeClose (5 buckets)</w:t>
      </w:r>
    </w:p>
    <w:p>
      <w:pPr>
        <w:spacing w:after="80"/>
      </w:pPr>
      <w:r>
        <w:rPr>
          <w:rFonts w:ascii="Arial" w:cs="Arial" w:eastAsia="Arial" w:hAnsi="Arial"/>
        </w:rPr>
        <w:t xml:space="preserve"/>
      </w:r>
    </w:p>
    <w:p>
      <w:pPr>
        <w:spacing w:after="120" w:before="240"/>
      </w:pPr>
      <w:r>
        <w:rPr>
          <w:rFonts w:ascii="Arial" w:cs="Arial" w:eastAsia="Arial" w:hAnsi="Arial"/>
          <w:b/>
          <w:bCs/>
          <w:color w:val="1B3A6B"/>
          <w:sz w:val="22"/>
          <w:szCs w:val="22"/>
        </w:rPr>
        <w:t xml:space="preserve">Phase 3 — Scale (months 6–12)</w:t>
      </w:r>
    </w:p>
    <w:p>
      <w:pPr>
        <w:spacing w:after="100"/>
      </w:pPr>
      <w:r>
        <w:rPr>
          <w:rFonts w:ascii="Arial" w:cs="Arial" w:eastAsia="Arial" w:hAnsi="Arial"/>
          <w:color w:val="1A1A1A"/>
          <w:sz w:val="19"/>
          <w:szCs w:val="19"/>
        </w:rPr>
        <w:t xml:space="preserve">Equity markets require careful market-hours keeper logic. Add only after Phase 2 keeper infrastructure is fully automated.</w:t>
      </w:r>
    </w:p>
    <w:p>
      <w:pPr>
        <w:pStyle w:val="ListParagraph"/>
        <w:numPr>
          <w:ilvl w:val="0"/>
          <w:numId w:val="2"/>
        </w:numPr>
        <w:spacing w:after="70"/>
      </w:pPr>
      <w:r>
        <w:rPr>
          <w:rFonts w:ascii="Arial" w:cs="Arial" w:eastAsia="Arial" w:hAnsi="Arial"/>
          <w:color w:val="C0392B"/>
          <w:sz w:val="19"/>
          <w:szCs w:val="19"/>
        </w:rPr>
        <w:t xml:space="preserve">NVDA/USD and TSLA/USD daily close Direction (NYSE hours only)</w:t>
      </w:r>
    </w:p>
    <w:p>
      <w:pPr>
        <w:pStyle w:val="ListParagraph"/>
        <w:numPr>
          <w:ilvl w:val="0"/>
          <w:numId w:val="2"/>
        </w:numPr>
        <w:spacing w:after="70"/>
      </w:pPr>
      <w:r>
        <w:rPr>
          <w:rFonts w:ascii="Arial" w:cs="Arial" w:eastAsia="Arial" w:hAnsi="Arial"/>
          <w:color w:val="C0392B"/>
          <w:sz w:val="19"/>
          <w:szCs w:val="19"/>
        </w:rPr>
        <w:t xml:space="preserve">QQQ/USD weekly Threshold</w:t>
      </w:r>
    </w:p>
    <w:p>
      <w:pPr>
        <w:pStyle w:val="ListParagraph"/>
        <w:numPr>
          <w:ilvl w:val="0"/>
          <w:numId w:val="2"/>
        </w:numPr>
        <w:spacing w:after="70"/>
      </w:pPr>
      <w:r>
        <w:rPr>
          <w:rFonts w:ascii="Arial" w:cs="Arial" w:eastAsia="Arial" w:hAnsi="Arial"/>
          <w:color w:val="C0392B"/>
          <w:sz w:val="19"/>
          <w:szCs w:val="19"/>
        </w:rPr>
        <w:t xml:space="preserve">AAPL/USD daily RangeClose (earnings weeks only)</w:t>
      </w:r>
    </w:p>
    <w:p>
      <w:pPr>
        <w:pStyle w:val="ListParagraph"/>
        <w:numPr>
          <w:ilvl w:val="0"/>
          <w:numId w:val="2"/>
        </w:numPr>
        <w:spacing w:after="70"/>
      </w:pPr>
      <w:r>
        <w:rPr>
          <w:rFonts w:ascii="Arial" w:cs="Arial" w:eastAsia="Arial" w:hAnsi="Arial"/>
          <w:color w:val="C0392B"/>
          <w:sz w:val="19"/>
          <w:szCs w:val="19"/>
        </w:rPr>
        <w:t xml:space="preserve">EWJ/USD weekly Direction (Asia exposure)</w:t>
      </w:r>
    </w:p>
    <w:p>
      <w:pPr>
        <w:spacing w:after="200"/>
      </w:pPr>
      <w:r>
        <w:rPr>
          <w:rFonts w:ascii="Arial" w:cs="Arial" w:eastAsia="Arial" w:hAnsi="Arial"/>
        </w:rPr>
        <w:t xml:space="preserve"/>
      </w:r>
    </w:p>
    <w:p>
      <w:r>
        <w:br w:type="page"/>
      </w:r>
    </w:p>
    <w:p>
      <w:pPr>
        <w:pBdr>
          <w:bottom w:val="single" w:color="1D9E75" w:sz="8" w:space="4"/>
        </w:pBdr>
        <w:spacing w:after="180" w:before="360"/>
      </w:pPr>
      <w:r>
        <w:rPr>
          <w:rFonts w:ascii="Arial" w:cs="Arial" w:eastAsia="Arial" w:hAnsi="Arial"/>
          <w:b/>
          <w:bCs/>
          <w:color w:val="1B3A6B"/>
          <w:sz w:val="28"/>
          <w:szCs w:val="28"/>
        </w:rPr>
        <w:t xml:space="preserve">4. Keeper Scheduling by Market Hours</w:t>
      </w:r>
    </w:p>
    <w:p>
      <w:pPr>
        <w:spacing w:after="100"/>
      </w:pPr>
      <w:r>
        <w:rPr>
          <w:rFonts w:ascii="Arial" w:cs="Arial" w:eastAsia="Arial" w:hAnsi="Arial"/>
          <w:color w:val="1A1A1A"/>
          <w:sz w:val="19"/>
          <w:szCs w:val="19"/>
        </w:rPr>
        <w:t xml:space="preserve">The market_engine keeper bot must respect oracle availability. Opening or resolving a round when the oracle is stale will trigger OracleStale halts and force recovery. This table maps each category to its operational window.</w:t>
      </w:r>
    </w:p>
    <w:p>
      <w:pPr>
        <w:spacing w:after="8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2200"/>
        <w:gridCol w:w="2400"/>
        <w:gridCol w:w="2400"/>
        <w:gridCol w:w="2638"/>
      </w:tblGrid>
      <w:tr>
        <w:trPr>
          <w:tblHeader/>
        </w:trPr>
        <w:tc>
          <w:tcPr>
            <w:tcW w:type="dxa" w:w="22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Category</w:t>
            </w:r>
          </w:p>
        </w:tc>
        <w:tc>
          <w:tcPr>
            <w:tcW w:type="dxa" w:w="24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Available window</w:t>
            </w:r>
          </w:p>
        </w:tc>
        <w:tc>
          <w:tcPr>
            <w:tcW w:type="dxa" w:w="2400"/>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Closed / stale risk</w:t>
            </w:r>
          </w:p>
        </w:tc>
        <w:tc>
          <w:tcPr>
            <w:tcW w:type="dxa" w:w="2638"/>
            <w:gridSpan w:val="1"/>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top"/>
          </w:tcPr>
          <w:p>
            <w:pPr>
              <w:spacing w:after="0"/>
            </w:pPr>
            <w:r>
              <w:rPr>
                <w:rFonts w:ascii="Arial" w:cs="Arial" w:eastAsia="Arial" w:hAnsi="Arial"/>
                <w:b/>
                <w:bCs/>
                <w:color w:val="FFFFFF"/>
                <w:sz w:val="17"/>
                <w:szCs w:val="17"/>
              </w:rPr>
              <w:t xml:space="preserve">Keeper action required</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Crypto (BTC/ETH/SOL)</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24/7/365 continuous</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None — always live</w:t>
            </w:r>
          </w:p>
        </w:tc>
        <w:tc>
          <w:tcPr>
            <w:tcW w:type="dxa" w:w="26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Set rolling rounds to run at any interval.</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Gold/Silver (XAU/XAG)</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Sun 23:00 – Fri 22:00 UTC</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Fri 22:00 – Sun 23:00 UTC</w:t>
            </w:r>
          </w:p>
        </w:tc>
        <w:tc>
          <w:tcPr>
            <w:tcW w:type="dxa" w:w="26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Do not open rounds spanning Friday close.</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Forex (EUR/GBP/JPY)</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Sun 22:00 – Fri 22:00 UTC (with gaps)</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Weekends and public holidays</w:t>
            </w:r>
          </w:p>
        </w:tc>
        <w:tc>
          <w:tcPr>
            <w:tcW w:type="dxa" w:w="26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Schedule daily rounds within session. Use weekday-only cron.</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Crude Oil (WTI)</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Mon–Fri 01:00 – 23:00 UTC</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Weekends + nights</w:t>
            </w:r>
          </w:p>
        </w:tc>
        <w:tc>
          <w:tcPr>
            <w:tcW w:type="dxa" w:w="26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Daily manual rounds only. Open after 01:00 UTC, resolve before 23:00 UTC.</w:t>
            </w:r>
          </w:p>
        </w:tc>
      </w:tr>
      <w:tr>
        <w:tc>
          <w:tcPr>
            <w:tcW w:type="dxa" w:w="22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US Equities (AAPL/NVDA)</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Mon–Fri 13:30 – 20:00 UTC (NYSE)</w:t>
            </w:r>
          </w:p>
        </w:tc>
        <w:tc>
          <w:tcPr>
            <w:tcW w:type="dxa" w:w="2400"/>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Outside NYSE hours + weekends</w:t>
            </w:r>
          </w:p>
        </w:tc>
        <w:tc>
          <w:tcPr>
            <w:tcW w:type="dxa" w:w="2638"/>
            <w:gridSpan w:val="1"/>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Must only open rounds that start and end within NYSE hours.</w:t>
            </w:r>
          </w:p>
        </w:tc>
      </w:tr>
      <w:tr>
        <w:tc>
          <w:tcPr>
            <w:tcW w:type="dxa" w:w="22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UK ETFs</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Mon–Fri 08:00 – 16:30 UTC (LSE) + 15 min delay</w:t>
            </w:r>
          </w:p>
        </w:tc>
        <w:tc>
          <w:tcPr>
            <w:tcW w:type="dxa" w:w="2400"/>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Outside LSE hours + 15 min delay at open</w:t>
            </w:r>
          </w:p>
        </w:tc>
        <w:tc>
          <w:tcPr>
            <w:tcW w:type="dxa" w:w="2638"/>
            <w:gridSpan w:val="1"/>
            <w:tcBorders>
              <w:top w:val="single" w:color="CCCCCC" w:sz="2"/>
              <w:left w:val="single" w:color="CCCCCC" w:sz="2"/>
              <w:bottom w:val="single" w:color="CCCCCC" w:sz="2"/>
              <w:right w:val="single" w:color="CCCCCC" w:sz="2"/>
            </w:tcBorders>
            <w:shd w:fill="F4F4F2" w:val="clear"/>
            <w:tcMar>
              <w:top w:type="dxa" w:w="80"/>
              <w:left w:type="dxa" w:w="140"/>
              <w:bottom w:type="dxa" w:w="80"/>
              <w:right w:type="dxa" w:w="140"/>
            </w:tcMar>
            <w:vAlign w:val="top"/>
          </w:tcPr>
          <w:p>
            <w:pPr>
              <w:spacing w:after="0"/>
            </w:pPr>
            <w:r>
              <w:rPr>
                <w:rFonts w:ascii="Arial" w:cs="Arial" w:eastAsia="Arial" w:hAnsi="Arial"/>
                <w:b w:val="false"/>
                <w:bCs w:val="false"/>
                <w:color w:val="1A1A1A"/>
                <w:sz w:val="17"/>
                <w:szCs w:val="17"/>
              </w:rPr>
              <w:t xml:space="preserve">Use 15-min delayed open for lockAt to avoid stale price at lock.</w:t>
            </w:r>
          </w:p>
        </w:tc>
      </w:tr>
    </w:tbl>
    <w:p>
      <w:pPr>
        <w:spacing w:after="200"/>
      </w:pPr>
      <w:r>
        <w:rPr>
          <w:rFonts w:ascii="Arial" w:cs="Arial" w:eastAsia="Arial" w:hAnsi="Arial"/>
        </w:rPr>
        <w:t xml:space="preserve"/>
      </w:r>
    </w:p>
    <w:p>
      <w:r>
        <w:br w:type="page"/>
      </w:r>
    </w:p>
    <w:p>
      <w:pPr>
        <w:pBdr>
          <w:bottom w:val="single" w:color="1D9E75" w:sz="8" w:space="4"/>
        </w:pBdr>
        <w:spacing w:after="180" w:before="360"/>
      </w:pPr>
      <w:r>
        <w:rPr>
          <w:rFonts w:ascii="Arial" w:cs="Arial" w:eastAsia="Arial" w:hAnsi="Arial"/>
          <w:b/>
          <w:bCs/>
          <w:color w:val="1B3A6B"/>
          <w:sz w:val="28"/>
          <w:szCs w:val="28"/>
        </w:rPr>
        <w:t xml:space="preserve">5. How to Encode a Chainlink Feed Address as oracleFeedId</w:t>
      </w:r>
    </w:p>
    <w:p>
      <w:pPr>
        <w:spacing w:after="100"/>
      </w:pPr>
      <w:r>
        <w:rPr>
          <w:rFonts w:ascii="Arial" w:cs="Arial" w:eastAsia="Arial" w:hAnsi="Arial"/>
          <w:color w:val="1A1A1A"/>
          <w:sz w:val="19"/>
          <w:szCs w:val="19"/>
        </w:rPr>
        <w:t xml:space="preserve">The market_engine stores oracle feed IDs as bytes32. The ChainlinkAdapter decodes this as an EVM address. The encoding formula is:</w:t>
      </w:r>
    </w:p>
    <w:p>
      <w:pPr>
        <w:spacing w:after="60"/>
      </w:pPr>
      <w:r>
        <w:rPr>
          <w:rFonts w:ascii="Arial" w:cs="Arial" w:eastAsia="Arial" w:hAnsi="Arial"/>
        </w:rPr>
        <w:t xml:space="preserve"/>
      </w:r>
    </w:p>
    <w:p>
      <w:pPr>
        <w:spacing w:after="100"/>
      </w:pPr>
      <w:r>
        <w:rPr>
          <w:rFonts w:ascii="Courier New" w:cs="Courier New" w:eastAsia="Courier New" w:hAnsi="Courier New"/>
          <w:color w:val="1B3A6B"/>
          <w:sz w:val="20"/>
          <w:szCs w:val="20"/>
        </w:rPr>
        <w:t xml:space="preserve">oracleFeedId = bytes32(uint256(uint160(proxyAddress)))</w:t>
      </w:r>
    </w:p>
    <w:p>
      <w:pPr>
        <w:spacing w:after="100"/>
      </w:pPr>
      <w:r>
        <w:rPr>
          <w:rFonts w:ascii="Arial" w:cs="Arial" w:eastAsia="Arial" w:hAnsi="Arial"/>
          <w:color w:val="1A1A1A"/>
          <w:sz w:val="19"/>
          <w:szCs w:val="19"/>
        </w:rPr>
        <w:t xml:space="preserve">In JavaScript (for the keeper or deployment script):</w:t>
      </w:r>
    </w:p>
    <w:p>
      <w:pPr>
        <w:spacing w:after="80"/>
      </w:pPr>
      <w:r>
        <w:rPr>
          <w:rFonts w:ascii="Courier New" w:cs="Courier New" w:eastAsia="Courier New" w:hAnsi="Courier New"/>
          <w:color w:val="1A1A1A"/>
          <w:sz w:val="18"/>
          <w:szCs w:val="18"/>
        </w:rPr>
        <w:t xml:space="preserve">const feedId = ethers.utils.hexZeroPad(proxyAddress, 32);</w:t>
      </w:r>
    </w:p>
    <w:p>
      <w:pPr>
        <w:spacing w:after="100"/>
      </w:pPr>
      <w:r>
        <w:rPr>
          <w:rFonts w:ascii="Arial" w:cs="Arial" w:eastAsia="Arial" w:hAnsi="Arial"/>
          <w:color w:val="1A1A1A"/>
          <w:sz w:val="19"/>
          <w:szCs w:val="19"/>
        </w:rPr>
        <w:t xml:space="preserve">Example — BTC/USD on Ethereum mainnet:</w:t>
      </w:r>
    </w:p>
    <w:p>
      <w:pPr>
        <w:spacing w:after="50"/>
      </w:pPr>
      <w:r>
        <w:rPr>
          <w:rFonts w:ascii="Courier New" w:cs="Courier New" w:eastAsia="Courier New" w:hAnsi="Courier New"/>
          <w:color w:val="555555"/>
          <w:sz w:val="18"/>
          <w:szCs w:val="18"/>
        </w:rPr>
        <w:t xml:space="preserve">Proxy address:  </w:t>
      </w:r>
      <w:r>
        <w:rPr>
          <w:rFonts w:ascii="Courier New" w:cs="Courier New" w:eastAsia="Courier New" w:hAnsi="Courier New"/>
          <w:color w:val="1B3A6B"/>
          <w:sz w:val="18"/>
          <w:szCs w:val="18"/>
        </w:rPr>
        <w:t xml:space="preserve">0xF4030086522a5bEEa4988F8cA5B36dbC97BeE88c</w:t>
      </w:r>
    </w:p>
    <w:p>
      <w:pPr>
        <w:spacing w:after="80"/>
      </w:pPr>
      <w:r>
        <w:rPr>
          <w:rFonts w:ascii="Courier New" w:cs="Courier New" w:eastAsia="Courier New" w:hAnsi="Courier New"/>
          <w:color w:val="555555"/>
          <w:sz w:val="18"/>
          <w:szCs w:val="18"/>
        </w:rPr>
        <w:t xml:space="preserve">oracleFeedId:   </w:t>
      </w:r>
      <w:r>
        <w:rPr>
          <w:rFonts w:ascii="Courier New" w:cs="Courier New" w:eastAsia="Courier New" w:hAnsi="Courier New"/>
          <w:color w:val="1B3A6B"/>
          <w:sz w:val="18"/>
          <w:szCs w:val="18"/>
        </w:rPr>
        <w:t xml:space="preserve">0x000000000000000000000000F4030086522a5bEEa4988F8cA5B36dbC97BeE88c</w:t>
      </w:r>
    </w:p>
    <w:p>
      <w:pPr>
        <w:spacing w:after="100"/>
      </w:pPr>
      <w:r>
        <w:rPr>
          <w:rFonts w:ascii="Arial" w:cs="Arial" w:eastAsia="Arial" w:hAnsi="Arial"/>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120"/>
        <w:gridCol w:w="9518"/>
      </w:tblGrid>
      <w:tr>
        <w:tc>
          <w:tcPr>
            <w:tcW w:type="dxa" w:w="120"/>
            <w:gridSpan w:val="1"/>
            <w:tcBorders>
              <w:top w:val="none" w:color="FFFFFF" w:sz="0"/>
              <w:left w:val="none" w:color="FFFFFF" w:sz="0"/>
              <w:bottom w:val="none" w:color="FFFFFF" w:sz="0"/>
              <w:right w:val="none" w:color="FFFFFF" w:sz="0"/>
            </w:tcBorders>
            <w:shd w:fill="1D9E75" w:val="clear"/>
            <w:tcMar>
              <w:top w:type="dxa" w:w="80"/>
              <w:left w:type="dxa" w:w="140"/>
              <w:bottom w:type="dxa" w:w="80"/>
              <w:right w:type="dxa" w:w="140"/>
            </w:tcMar>
            <w:vAlign w:val="top"/>
          </w:tcPr>
          <w:p>
            <w:pPr>
              <w:spacing w:after="0"/>
            </w:pPr>
            <w:r>
              <w:rPr>
                <w:rFonts w:ascii="Arial" w:cs="Arial" w:eastAsia="Arial" w:hAnsi="Arial"/>
              </w:rPr>
              <w:t xml:space="preserve"/>
            </w:r>
          </w:p>
        </w:tc>
        <w:tc>
          <w:tcPr>
            <w:tcW w:type="dxa" w:w="9518"/>
            <w:gridSpan w:val="1"/>
            <w:tcBorders>
              <w:top w:val="none" w:color="FFFFFF" w:sz="0"/>
              <w:left w:val="none" w:color="FFFFFF" w:sz="0"/>
              <w:bottom w:val="none" w:color="FFFFFF" w:sz="0"/>
              <w:right w:val="none" w:color="FFFFFF" w:sz="0"/>
            </w:tcBorders>
            <w:shd w:fill="F4F4F2" w:val="clear"/>
            <w:tcMar>
              <w:top w:type="dxa" w:w="80"/>
              <w:left w:type="dxa" w:w="140"/>
              <w:bottom w:type="dxa" w:w="80"/>
              <w:right w:type="dxa" w:w="140"/>
            </w:tcMar>
            <w:vAlign w:val="top"/>
          </w:tcPr>
          <w:p>
            <w:pPr>
              <w:spacing w:after="60"/>
            </w:pPr>
            <w:r>
              <w:rPr>
                <w:rFonts w:ascii="Arial" w:cs="Arial" w:eastAsia="Arial" w:hAnsi="Arial"/>
                <w:color w:val="1A1A1A"/>
                <w:sz w:val="18"/>
                <w:szCs w:val="18"/>
              </w:rPr>
              <w:t xml:space="preserve">Verification step: After upsertTemplate, call templates(templateId) and read the oracleFeedId.</w:t>
            </w:r>
          </w:p>
          <w:p>
            <w:pPr>
              <w:spacing w:after="60"/>
            </w:pPr>
            <w:r>
              <w:rPr>
                <w:rFonts w:ascii="Arial" w:cs="Arial" w:eastAsia="Arial" w:hAnsi="Arial"/>
                <w:color w:val="1A1A1A"/>
                <w:sz w:val="18"/>
                <w:szCs w:val="18"/>
              </w:rPr>
              <w:t xml:space="preserve">Decode it: address(uint160(uint256(oracleFeedId))) should equal the original Chainlink proxy address.</w:t>
            </w:r>
          </w:p>
          <w:p>
            <w:pPr>
              <w:spacing w:after="60"/>
            </w:pPr>
            <w:r>
              <w:rPr>
                <w:rFonts w:ascii="Arial" w:cs="Arial" w:eastAsia="Arial" w:hAnsi="Arial"/>
                <w:color w:val="1A1A1A"/>
                <w:sz w:val="18"/>
                <w:szCs w:val="18"/>
              </w:rPr>
              <w:t xml:space="preserve">Also verify the feed via Chainlink's data.chain.link explorer to confirm it is active and has a recent round.</w:t>
            </w:r>
          </w:p>
        </w:tc>
      </w:tr>
    </w:tbl>
    <w:p>
      <w:pPr>
        <w:spacing w:after="200"/>
      </w:pPr>
      <w:r>
        <w:rPr>
          <w:rFonts w:ascii="Arial" w:cs="Arial" w:eastAsia="Arial" w:hAnsi="Arial"/>
        </w:rPr>
        <w:t xml:space="preserve"/>
      </w:r>
    </w:p>
    <w:p>
      <w:pPr>
        <w:spacing w:before="200"/>
        <w:jc w:val="center"/>
      </w:pPr>
      <w:r>
        <w:rPr>
          <w:rFonts w:ascii="Arial" w:cs="Arial" w:eastAsia="Arial" w:hAnsi="Arial"/>
          <w:b/>
          <w:bCs/>
          <w:color w:val="999999"/>
          <w:sz w:val="18"/>
          <w:szCs w:val="18"/>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0"/>
    </w:pPr>
    <w:r>
      <w:rPr>
        <w:rFonts w:ascii="Arial" w:cs="Arial" w:eastAsia="Arial" w:hAnsi="Arial"/>
        <w:color w:val="999999"/>
        <w:sz w:val="16"/>
        <w:szCs w:val="16"/>
      </w:rPr>
      <w:t xml:space="preserve">RetroPick Protocol — Market Catalog v1.0 — For Internal Use</w:t>
    </w:r>
    <w:r>
      <w:rPr>
        <w:rFonts w:ascii="Arial" w:cs="Arial" w:eastAsia="Arial" w:hAnsi="Arial"/>
        <w:sz w:val="16"/>
        <w:szCs w:val="16"/>
      </w:rPr>
      <w:tab/>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999999"/>
        <w:sz w:val="16"/>
        <w:szCs w:val="16"/>
      </w:rPr>
      <w:t xml:space="preserve">RETROPICK PROTOCOL  |  Market Catalog &amp; Feed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2026-04-09T13:37:45.029Z</dcterms:created>
  <dcterms:modified xsi:type="dcterms:W3CDTF">2026-04-09T13:37:45.032Z</dcterms:modified>
</cp:coreProperties>
</file>

<file path=docProps/custom.xml><?xml version="1.0" encoding="utf-8"?>
<Properties xmlns="http://schemas.openxmlformats.org/officeDocument/2006/custom-properties" xmlns:vt="http://schemas.openxmlformats.org/officeDocument/2006/docPropsVTypes"/>
</file>