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DC6989" w14:textId="77777777" w:rsidR="0010031A" w:rsidRPr="0010031A" w:rsidRDefault="0010031A" w:rsidP="0010031A">
      <w:pPr>
        <w:jc w:val="both"/>
        <w:rPr>
          <w:b/>
          <w:bCs/>
        </w:rPr>
      </w:pPr>
      <w:r w:rsidRPr="0010031A">
        <w:rPr>
          <w:b/>
          <w:bCs/>
        </w:rPr>
        <w:t>Resumen</w:t>
      </w:r>
    </w:p>
    <w:p w14:paraId="44C9712E" w14:textId="173F1697" w:rsidR="0010031A" w:rsidRPr="0010031A" w:rsidRDefault="0010031A" w:rsidP="0010031A">
      <w:pPr>
        <w:jc w:val="both"/>
      </w:pPr>
      <w:r w:rsidRPr="0010031A">
        <w:t xml:space="preserve">El presente Trabajo de Fin de Máster aborda el diseño, la implementación arquitectónica y la validación algorítmica de "Galingo", una plataforma móvil orientada a la adquisición del idioma gallego para usuarios no gallegoparlantes. El problema </w:t>
      </w:r>
      <w:r>
        <w:t>oculto</w:t>
      </w:r>
      <w:r w:rsidRPr="0010031A">
        <w:t xml:space="preserve"> radica en la exclusión sistemática de lenguas minorizadas de los ecosistemas comerciales de </w:t>
      </w:r>
      <w:r w:rsidRPr="0010031A">
        <w:rPr>
          <w:i/>
          <w:iCs/>
        </w:rPr>
        <w:t>microlearning</w:t>
      </w:r>
      <w:r w:rsidRPr="0010031A">
        <w:t>, lo que genera una barrera de entrada tecnológica para la integración lingüística y el arraigo cultural de la población migrante. Para mitigar esta carencia, se propone un sistema de software basado en una arquitectura de microservicios que integra un motor de retención de memoria. A nivel algorítmico, el trabajo sustituye las heurísticas tradicionales de repaso determinista por un modelo de Regresión de Vida Media (HLR, por sus siglas en inglés), entrenado sobre datos de interacción histórica para predecir probabilísticamente la curva de olvido del usuario. El documento detalla el modelado de la base de datos relacional, la construcción de la API asíncrona, el prototipado de la interfaz de usuario orientada a la reducción de fricción cognitiva y la formulación matemática del motor predictivo, culminando con la propuesta de validación empírica del sistema frente a líneas base estacionarias.</w:t>
      </w:r>
    </w:p>
    <w:p w14:paraId="7F07C554" w14:textId="77777777" w:rsidR="0010031A" w:rsidRPr="0010031A" w:rsidRDefault="0010031A" w:rsidP="0010031A">
      <w:pPr>
        <w:jc w:val="both"/>
      </w:pPr>
      <w:r w:rsidRPr="0010031A">
        <w:rPr>
          <w:b/>
          <w:bCs/>
        </w:rPr>
        <w:t>Palabras clave:</w:t>
      </w:r>
      <w:r w:rsidRPr="0010031A">
        <w:t xml:space="preserve"> </w:t>
      </w:r>
      <w:r w:rsidRPr="0010031A">
        <w:rPr>
          <w:i/>
          <w:iCs/>
        </w:rPr>
        <w:t>Microlearning</w:t>
      </w:r>
      <w:r w:rsidRPr="0010031A">
        <w:t>, Repetición Espaciada, Machine Learning, Procesamiento del Lenguaje Natural, Arquitectura de Software, Lenguas Minorizadas, Integración Sociocultural.</w:t>
      </w:r>
    </w:p>
    <w:p w14:paraId="330A2491" w14:textId="77777777" w:rsidR="0010031A" w:rsidRDefault="0010031A" w:rsidP="0010031A">
      <w:pPr>
        <w:rPr>
          <w:b/>
          <w:bCs/>
        </w:rPr>
      </w:pPr>
    </w:p>
    <w:p w14:paraId="03F36479" w14:textId="77777777" w:rsidR="0010031A" w:rsidRDefault="0010031A" w:rsidP="0010031A">
      <w:pPr>
        <w:rPr>
          <w:b/>
          <w:bCs/>
        </w:rPr>
      </w:pPr>
    </w:p>
    <w:p w14:paraId="71E1C1B7" w14:textId="77777777" w:rsidR="0010031A" w:rsidRDefault="0010031A" w:rsidP="0010031A">
      <w:pPr>
        <w:rPr>
          <w:b/>
          <w:bCs/>
        </w:rPr>
      </w:pPr>
    </w:p>
    <w:p w14:paraId="0B9C2758" w14:textId="77777777" w:rsidR="0010031A" w:rsidRDefault="0010031A" w:rsidP="0010031A">
      <w:pPr>
        <w:rPr>
          <w:b/>
          <w:bCs/>
        </w:rPr>
      </w:pPr>
    </w:p>
    <w:p w14:paraId="4C4C29B0" w14:textId="77777777" w:rsidR="0010031A" w:rsidRDefault="0010031A" w:rsidP="0010031A">
      <w:pPr>
        <w:rPr>
          <w:b/>
          <w:bCs/>
        </w:rPr>
      </w:pPr>
    </w:p>
    <w:p w14:paraId="03399DB6" w14:textId="77777777" w:rsidR="0010031A" w:rsidRDefault="0010031A" w:rsidP="0010031A">
      <w:pPr>
        <w:rPr>
          <w:b/>
          <w:bCs/>
        </w:rPr>
      </w:pPr>
    </w:p>
    <w:p w14:paraId="19C789C9" w14:textId="77777777" w:rsidR="0010031A" w:rsidRDefault="0010031A" w:rsidP="0010031A">
      <w:pPr>
        <w:rPr>
          <w:b/>
          <w:bCs/>
        </w:rPr>
      </w:pPr>
    </w:p>
    <w:p w14:paraId="1D1F0CFB" w14:textId="77777777" w:rsidR="0010031A" w:rsidRDefault="0010031A" w:rsidP="0010031A">
      <w:pPr>
        <w:rPr>
          <w:b/>
          <w:bCs/>
        </w:rPr>
      </w:pPr>
    </w:p>
    <w:p w14:paraId="30F9E789" w14:textId="77777777" w:rsidR="0010031A" w:rsidRDefault="0010031A" w:rsidP="0010031A">
      <w:pPr>
        <w:rPr>
          <w:b/>
          <w:bCs/>
        </w:rPr>
      </w:pPr>
    </w:p>
    <w:p w14:paraId="33BCF8C4" w14:textId="77777777" w:rsidR="0010031A" w:rsidRDefault="0010031A" w:rsidP="0010031A">
      <w:pPr>
        <w:rPr>
          <w:b/>
          <w:bCs/>
        </w:rPr>
      </w:pPr>
    </w:p>
    <w:p w14:paraId="63D9D823" w14:textId="77777777" w:rsidR="0010031A" w:rsidRDefault="0010031A" w:rsidP="0010031A">
      <w:pPr>
        <w:rPr>
          <w:b/>
          <w:bCs/>
        </w:rPr>
      </w:pPr>
    </w:p>
    <w:p w14:paraId="070BB81E" w14:textId="77777777" w:rsidR="0010031A" w:rsidRDefault="0010031A" w:rsidP="0010031A">
      <w:pPr>
        <w:rPr>
          <w:b/>
          <w:bCs/>
        </w:rPr>
      </w:pPr>
    </w:p>
    <w:p w14:paraId="75C90B6C" w14:textId="77777777" w:rsidR="0010031A" w:rsidRDefault="0010031A" w:rsidP="0010031A">
      <w:pPr>
        <w:rPr>
          <w:b/>
          <w:bCs/>
        </w:rPr>
      </w:pPr>
    </w:p>
    <w:p w14:paraId="682A1CA0" w14:textId="67A310D1" w:rsidR="0010031A" w:rsidRPr="0010031A" w:rsidRDefault="0010031A" w:rsidP="0010031A">
      <w:pPr>
        <w:jc w:val="both"/>
        <w:rPr>
          <w:b/>
          <w:bCs/>
        </w:rPr>
      </w:pPr>
      <w:r w:rsidRPr="0010031A">
        <w:rPr>
          <w:b/>
          <w:bCs/>
        </w:rPr>
        <w:lastRenderedPageBreak/>
        <w:t>Abstract</w:t>
      </w:r>
    </w:p>
    <w:p w14:paraId="329922BB" w14:textId="1460B3C0" w:rsidR="0010031A" w:rsidRPr="0010031A" w:rsidRDefault="0010031A" w:rsidP="0010031A">
      <w:pPr>
        <w:jc w:val="both"/>
      </w:pPr>
      <w:r w:rsidRPr="0010031A">
        <w:t xml:space="preserve">This Master's Thesis presents the design, architectural implementation, and algorithmic validation of "Galingo", a mobile platform aimed at facilitating the acquisition of the Galician language for non-Galician speakers. The </w:t>
      </w:r>
      <w:r>
        <w:t>hidden</w:t>
      </w:r>
      <w:r w:rsidRPr="0010031A">
        <w:t xml:space="preserve"> problem lies in the systematic exclusion of minority languages from commercial microlearning ecosystems, which creates a technological barrier to the linguistic integration and cultural rooting of migrant populations. To mitigate this gap, a software system based on a microservices architecture integrating a memory retention engine is proposed. Algorithmically, the study replaces traditional deterministic review heuristics with a Half-Life Regression (HLR) model, trained on historical interaction data to probabilistically predict the user's forgetting curve. This document details the relational database modeling, the construction of the asynchronous API, the user interface prototyping aimed at reducing cognitive friction, and the mathematical formulation of the predictive engine, culminating in the empirical validation proposal of the system against stationary baselines.</w:t>
      </w:r>
    </w:p>
    <w:p w14:paraId="37D63C65" w14:textId="77777777" w:rsidR="0010031A" w:rsidRPr="0010031A" w:rsidRDefault="0010031A" w:rsidP="0010031A">
      <w:pPr>
        <w:jc w:val="both"/>
      </w:pPr>
      <w:r w:rsidRPr="0010031A">
        <w:rPr>
          <w:b/>
          <w:bCs/>
        </w:rPr>
        <w:t>Keywords:</w:t>
      </w:r>
      <w:r w:rsidRPr="0010031A">
        <w:t xml:space="preserve"> Microlearning, Spaced Repetition, Machine Learning, Natural Language Processing, Software Architecture, Minority Languages, Sociocultural Integration.</w:t>
      </w:r>
    </w:p>
    <w:p w14:paraId="653A60FC" w14:textId="77777777" w:rsidR="0010031A" w:rsidRDefault="0010031A" w:rsidP="0010031A">
      <w:pPr>
        <w:rPr>
          <w:b/>
          <w:bCs/>
        </w:rPr>
      </w:pPr>
    </w:p>
    <w:p w14:paraId="38CBF3BA" w14:textId="77777777" w:rsidR="0010031A" w:rsidRDefault="0010031A" w:rsidP="0010031A">
      <w:pPr>
        <w:rPr>
          <w:b/>
          <w:bCs/>
        </w:rPr>
      </w:pPr>
    </w:p>
    <w:p w14:paraId="78689609" w14:textId="77777777" w:rsidR="0010031A" w:rsidRDefault="0010031A" w:rsidP="0010031A">
      <w:pPr>
        <w:rPr>
          <w:b/>
          <w:bCs/>
        </w:rPr>
      </w:pPr>
    </w:p>
    <w:p w14:paraId="37EEED85" w14:textId="77777777" w:rsidR="0010031A" w:rsidRDefault="0010031A" w:rsidP="0010031A">
      <w:pPr>
        <w:rPr>
          <w:b/>
          <w:bCs/>
        </w:rPr>
      </w:pPr>
    </w:p>
    <w:p w14:paraId="74E0BCD9" w14:textId="77777777" w:rsidR="0010031A" w:rsidRDefault="0010031A" w:rsidP="0010031A">
      <w:pPr>
        <w:rPr>
          <w:b/>
          <w:bCs/>
        </w:rPr>
      </w:pPr>
    </w:p>
    <w:p w14:paraId="2F80F8D9" w14:textId="77777777" w:rsidR="0010031A" w:rsidRDefault="0010031A" w:rsidP="0010031A">
      <w:pPr>
        <w:rPr>
          <w:b/>
          <w:bCs/>
        </w:rPr>
      </w:pPr>
    </w:p>
    <w:p w14:paraId="4075073A" w14:textId="77777777" w:rsidR="0010031A" w:rsidRDefault="0010031A" w:rsidP="0010031A">
      <w:pPr>
        <w:rPr>
          <w:b/>
          <w:bCs/>
        </w:rPr>
      </w:pPr>
    </w:p>
    <w:p w14:paraId="6083A932" w14:textId="77777777" w:rsidR="0010031A" w:rsidRDefault="0010031A" w:rsidP="0010031A">
      <w:pPr>
        <w:rPr>
          <w:b/>
          <w:bCs/>
        </w:rPr>
      </w:pPr>
    </w:p>
    <w:p w14:paraId="0B999F07" w14:textId="77777777" w:rsidR="0010031A" w:rsidRDefault="0010031A" w:rsidP="0010031A">
      <w:pPr>
        <w:rPr>
          <w:b/>
          <w:bCs/>
        </w:rPr>
      </w:pPr>
    </w:p>
    <w:p w14:paraId="1F0919F3" w14:textId="77777777" w:rsidR="0010031A" w:rsidRDefault="0010031A" w:rsidP="0010031A">
      <w:pPr>
        <w:rPr>
          <w:b/>
          <w:bCs/>
        </w:rPr>
      </w:pPr>
    </w:p>
    <w:p w14:paraId="05BA6754" w14:textId="77777777" w:rsidR="0010031A" w:rsidRDefault="0010031A" w:rsidP="0010031A">
      <w:pPr>
        <w:rPr>
          <w:b/>
          <w:bCs/>
        </w:rPr>
      </w:pPr>
    </w:p>
    <w:p w14:paraId="2AC3A444" w14:textId="77777777" w:rsidR="0010031A" w:rsidRDefault="0010031A" w:rsidP="0010031A">
      <w:pPr>
        <w:rPr>
          <w:b/>
          <w:bCs/>
        </w:rPr>
      </w:pPr>
    </w:p>
    <w:p w14:paraId="3B534733" w14:textId="77777777" w:rsidR="0010031A" w:rsidRDefault="0010031A" w:rsidP="0010031A">
      <w:pPr>
        <w:rPr>
          <w:b/>
          <w:bCs/>
        </w:rPr>
      </w:pPr>
    </w:p>
    <w:p w14:paraId="01D571F1" w14:textId="77777777" w:rsidR="0010031A" w:rsidRDefault="0010031A" w:rsidP="0010031A">
      <w:pPr>
        <w:rPr>
          <w:b/>
          <w:bCs/>
        </w:rPr>
      </w:pPr>
    </w:p>
    <w:p w14:paraId="0DC7303F" w14:textId="77777777" w:rsidR="0010031A" w:rsidRDefault="0010031A" w:rsidP="0010031A">
      <w:pPr>
        <w:rPr>
          <w:b/>
          <w:bCs/>
        </w:rPr>
      </w:pPr>
    </w:p>
    <w:p w14:paraId="1F53FEC4" w14:textId="77777777" w:rsidR="0010031A" w:rsidRPr="0010031A" w:rsidRDefault="0010031A" w:rsidP="0010031A">
      <w:pPr>
        <w:jc w:val="both"/>
        <w:rPr>
          <w:b/>
          <w:bCs/>
        </w:rPr>
      </w:pPr>
      <w:r w:rsidRPr="0010031A">
        <w:rPr>
          <w:b/>
          <w:bCs/>
        </w:rPr>
        <w:lastRenderedPageBreak/>
        <w:t>1. Introducción</w:t>
      </w:r>
    </w:p>
    <w:p w14:paraId="74615F32" w14:textId="77777777" w:rsidR="0010031A" w:rsidRPr="0010031A" w:rsidRDefault="0010031A" w:rsidP="0010031A">
      <w:pPr>
        <w:jc w:val="both"/>
        <w:rPr>
          <w:b/>
          <w:bCs/>
        </w:rPr>
      </w:pPr>
      <w:r w:rsidRPr="0010031A">
        <w:rPr>
          <w:b/>
          <w:bCs/>
        </w:rPr>
        <w:t>1.1 Motivación y contexto sociolingüístico y tecnológico</w:t>
      </w:r>
    </w:p>
    <w:p w14:paraId="568DF1A1" w14:textId="77777777" w:rsidR="0010031A" w:rsidRPr="0010031A" w:rsidRDefault="0010031A" w:rsidP="0010031A">
      <w:pPr>
        <w:jc w:val="both"/>
      </w:pPr>
      <w:r w:rsidRPr="0010031A">
        <w:t>La convergencia entre la ingeniería de software, la gamificación y el aprendizaje automático ha transformado radicalmente la adquisición de segundas lenguas durante la última década. Plataformas globales fundamentadas en el microaprendizaje han demostrado una alta eficacia en la retención de usuarios a través de bucles de retroalimentación inmediata. Sin embargo, la viabilidad económica que rige estas soluciones impone una barrera estructural: los algoritmos y arquitecturas de vanguardia se reservan exclusivamente para lenguas de alto impacto comercial, relegando a las lenguas minorizadas a recursos digitales estáticos, fragmentados y carentes de metodologías de retención adaptativa.</w:t>
      </w:r>
    </w:p>
    <w:p w14:paraId="1E7BA00E" w14:textId="77777777" w:rsidR="0010031A" w:rsidRPr="0010031A" w:rsidRDefault="0010031A" w:rsidP="0010031A">
      <w:pPr>
        <w:jc w:val="both"/>
      </w:pPr>
      <w:r w:rsidRPr="0010031A">
        <w:t>En el caso concreto del gallego, esta asimetría tecnológica trasciende el ámbito puramente académico para convertirse en un problema de índole sociodemográfica. Galicia se conforma como una comunidad receptora de flujos migratorios, donde la lengua propia constituye un vector crítico para el arraigo territorial, la inserción sociolaboral y la cohesión de los núcleos familiares. La ausencia de herramientas accesibles de inmersión lingüística —especialmente en los estadios iniciales del aprendizaje (niveles A1 y A2 del Marco Común Europeo de Referencia)— dificulta que adultos y menores en edad escolar puedan internalizar el idioma de forma progresiva. El desarrollo de "Galingo" nace de la necesidad de aplicar ingeniería de producto e inteligencia artificial para democratizar el acceso al gallego, ofreciendo una experiencia interactiva que facilite la apropiación del idioma y neutralice la percepción de barrera cultural.</w:t>
      </w:r>
    </w:p>
    <w:p w14:paraId="07B80884" w14:textId="77777777" w:rsidR="0010031A" w:rsidRPr="0010031A" w:rsidRDefault="0010031A" w:rsidP="0010031A">
      <w:pPr>
        <w:jc w:val="both"/>
        <w:rPr>
          <w:b/>
          <w:bCs/>
        </w:rPr>
      </w:pPr>
      <w:r w:rsidRPr="0010031A">
        <w:rPr>
          <w:b/>
          <w:bCs/>
        </w:rPr>
        <w:t>1.2 Formulación del problema</w:t>
      </w:r>
    </w:p>
    <w:p w14:paraId="3A2B51BF" w14:textId="539CF4F8" w:rsidR="0010031A" w:rsidRPr="0010031A" w:rsidRDefault="0010031A" w:rsidP="0010031A">
      <w:pPr>
        <w:jc w:val="both"/>
      </w:pPr>
      <w:r w:rsidRPr="0010031A">
        <w:t xml:space="preserve">El problema tecnológico a resolver se define por la ineficiencia de las metodologías de repaso estático en las herramientas de aprendizaje del gallego existentes. Las plataformas institucionales y los diccionarios en línea disponibles carecen de sistemas capaces de optimizar el tiempo de estudio del usuario. En la ciencia cognitiva contemporánea, la retención de información se rige por la curva de olvido de Ebbinghaus, donde la probabilidad de recuerdo </w:t>
      </w:r>
      <m:oMath>
        <m:r>
          <w:rPr>
            <w:rFonts w:ascii="Cambria Math" w:hAnsi="Cambria Math"/>
          </w:rPr>
          <m:t>p</m:t>
        </m:r>
      </m:oMath>
      <w:r w:rsidRPr="0010031A">
        <w:t xml:space="preserve"> tras un tiempo </w:t>
      </w:r>
      <m:oMath>
        <m:r>
          <w:rPr>
            <w:rFonts w:ascii="Cambria Math" w:hAnsi="Cambria Math"/>
          </w:rPr>
          <m:t>t</m:t>
        </m:r>
      </m:oMath>
      <w:r w:rsidRPr="0010031A">
        <w:t xml:space="preserve"> decae exponencialmente según la fuerza de la memoria o vida media </w:t>
      </w:r>
      <m:oMath>
        <m:r>
          <w:rPr>
            <w:rFonts w:ascii="Cambria Math" w:hAnsi="Cambria Math"/>
          </w:rPr>
          <m:t>h</m:t>
        </m:r>
      </m:oMath>
      <w:r w:rsidRPr="0010031A">
        <w:t>:</w:t>
      </w:r>
    </w:p>
    <w:p w14:paraId="2AEBE328" w14:textId="34012C98" w:rsidR="0010031A" w:rsidRPr="0010031A" w:rsidRDefault="0010031A" w:rsidP="0010031A">
      <w:pPr>
        <w:jc w:val="both"/>
      </w:pPr>
      <m:oMathPara>
        <m:oMath>
          <m:r>
            <w:rPr>
              <w:rFonts w:ascii="Cambria Math" w:hAnsi="Cambria Math"/>
            </w:rPr>
            <m:t>p</m:t>
          </m:r>
          <m:d>
            <m:dPr>
              <m:ctrlPr>
                <w:rPr>
                  <w:rFonts w:ascii="Cambria Math" w:hAnsi="Cambria Math"/>
                </w:rPr>
              </m:ctrlPr>
            </m:dPr>
            <m:e>
              <m:r>
                <w:rPr>
                  <w:rFonts w:ascii="Cambria Math" w:hAnsi="Cambria Math"/>
                </w:rPr>
                <m:t>t,h</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h</m:t>
                  </m:r>
                </m:den>
              </m:f>
            </m:sup>
          </m:sSup>
        </m:oMath>
      </m:oMathPara>
    </w:p>
    <w:p w14:paraId="3676360C" w14:textId="437CC618" w:rsidR="0010031A" w:rsidRPr="0010031A" w:rsidRDefault="0010031A" w:rsidP="0010031A">
      <w:pPr>
        <w:jc w:val="both"/>
      </w:pPr>
      <w:r w:rsidRPr="0010031A">
        <w:t xml:space="preserve">Los sistemas clásicos de </w:t>
      </w:r>
      <w:r w:rsidRPr="0010031A">
        <w:rPr>
          <w:i/>
          <w:iCs/>
        </w:rPr>
        <w:t>flashcards</w:t>
      </w:r>
      <w:r w:rsidRPr="0010031A">
        <w:t xml:space="preserve"> disponibles para lenguas minorizadas asumen una variable </w:t>
      </w:r>
      <m:oMath>
        <m:r>
          <w:rPr>
            <w:rFonts w:ascii="Cambria Math" w:hAnsi="Cambria Math"/>
          </w:rPr>
          <m:t>h</m:t>
        </m:r>
      </m:oMath>
      <w:r w:rsidRPr="0010031A">
        <w:t xml:space="preserve"> determinista, incrementándola mediante multiplicadores fijos tras cada acierto (como sucede en el algoritmo SM-2). Este enfoque ignora la latencia de respuesta, el historial estocástico del usuario y la complejidad intrínseca (lexicométrica y sintáctica) del ítem evaluado.</w:t>
      </w:r>
    </w:p>
    <w:p w14:paraId="70042CE5" w14:textId="335E7FF4" w:rsidR="0010031A" w:rsidRPr="0010031A" w:rsidRDefault="0010031A" w:rsidP="0010031A">
      <w:pPr>
        <w:jc w:val="both"/>
      </w:pPr>
      <w:r w:rsidRPr="0010031A">
        <w:t xml:space="preserve">El desafío arquitectónico y de ciencia de datos radica, por tanto, en diseñar una infraestructura que capture eventos de interacción de forma asíncrona y continua, utilizándolos para entrenar </w:t>
      </w:r>
      <w:r w:rsidRPr="0010031A">
        <w:lastRenderedPageBreak/>
        <w:t xml:space="preserve">un modelo de predicción que estime el parámetro </w:t>
      </w:r>
      <m:oMath>
        <m:r>
          <w:rPr>
            <w:rFonts w:ascii="Cambria Math" w:hAnsi="Cambria Math"/>
          </w:rPr>
          <m:t>h</m:t>
        </m:r>
      </m:oMath>
      <w:r w:rsidRPr="0010031A">
        <w:t xml:space="preserve"> minimizando el error logarítmico frente a los resultados reales de los usuarios. Todo ello, encapsulado en una aplicación móvil monolítica orientada a microservicios en el </w:t>
      </w:r>
      <w:r w:rsidRPr="0010031A">
        <w:rPr>
          <w:i/>
          <w:iCs/>
        </w:rPr>
        <w:t>backend</w:t>
      </w:r>
      <w:r w:rsidRPr="0010031A">
        <w:t>, que soporte alta concurrencia y ofrezca tiempos de respuesta inferiores a 200 milisegundos para no romper el bucle de gamificación.</w:t>
      </w:r>
    </w:p>
    <w:p w14:paraId="6B3B326B" w14:textId="77777777" w:rsidR="0010031A" w:rsidRPr="0010031A" w:rsidRDefault="0010031A" w:rsidP="0010031A">
      <w:pPr>
        <w:jc w:val="both"/>
        <w:rPr>
          <w:b/>
          <w:bCs/>
        </w:rPr>
      </w:pPr>
      <w:r w:rsidRPr="0010031A">
        <w:rPr>
          <w:b/>
          <w:bCs/>
        </w:rPr>
        <w:t>1.3 Objetivos del proyecto</w:t>
      </w:r>
    </w:p>
    <w:p w14:paraId="590A1BFF" w14:textId="77777777" w:rsidR="0010031A" w:rsidRPr="0010031A" w:rsidRDefault="0010031A" w:rsidP="0010031A">
      <w:pPr>
        <w:jc w:val="both"/>
      </w:pPr>
      <w:r w:rsidRPr="0010031A">
        <w:t>El objetivo general de este Trabajo de Fin de Máster consiste en concebir, desarrollar y validar un sistema integral de aprendizaje móvil ("Galingo") que aplique modelado probabilístico de repetición espaciada al idioma gallego, ofreciendo una solución tecnológica que catalice la integración sociolingüística.</w:t>
      </w:r>
    </w:p>
    <w:p w14:paraId="73E0D97B" w14:textId="77777777" w:rsidR="0010031A" w:rsidRPr="0010031A" w:rsidRDefault="0010031A" w:rsidP="0010031A">
      <w:pPr>
        <w:jc w:val="both"/>
      </w:pPr>
      <w:r w:rsidRPr="0010031A">
        <w:t>Para alcanzar este propósito, se establecen los siguientes objetivos específicos:</w:t>
      </w:r>
    </w:p>
    <w:p w14:paraId="14042757" w14:textId="155D5B5D" w:rsidR="0010031A" w:rsidRPr="0010031A" w:rsidRDefault="0010031A" w:rsidP="0010031A">
      <w:pPr>
        <w:jc w:val="both"/>
      </w:pPr>
      <w:r w:rsidRPr="0010031A">
        <w:t xml:space="preserve">En primer lugar, el diseño algorítmico y matemático persigue la sustitución de las heurísticas clásicas por un modelo de Regresión de Vida Media (HLR). Esto requiere definir un vector de características vectoriales </w:t>
      </w:r>
      <m:oMath>
        <m:r>
          <w:rPr>
            <w:rFonts w:ascii="Cambria Math" w:hAnsi="Cambria Math"/>
          </w:rPr>
          <m:t>x</m:t>
        </m:r>
      </m:oMath>
      <w:r w:rsidRPr="0010031A">
        <w:t xml:space="preserve"> (que incluya intentos históricos, aciertos y complejidad morfológica) para calcular la vida media estimada </w:t>
      </w:r>
      <m:oMath>
        <m:acc>
          <m:accPr>
            <m:chr m:val="ˆ"/>
            <m:ctrlPr>
              <w:rPr>
                <w:rFonts w:ascii="Cambria Math" w:hAnsi="Cambria Math"/>
              </w:rPr>
            </m:ctrlPr>
          </m:accPr>
          <m:e>
            <m:r>
              <w:rPr>
                <w:rFonts w:ascii="Cambria Math" w:hAnsi="Cambria Math"/>
              </w:rPr>
              <m:t>h</m:t>
            </m:r>
          </m:e>
        </m:acc>
      </m:oMath>
      <w:r w:rsidRPr="0010031A">
        <w:t xml:space="preserve"> mediante pesos entrenables </w:t>
      </w:r>
      <m:oMath>
        <m:r>
          <m:rPr>
            <m:sty m:val="p"/>
          </m:rPr>
          <w:rPr>
            <w:rFonts w:ascii="Cambria Math" w:hAnsi="Cambria Math"/>
          </w:rPr>
          <m:t>Θ</m:t>
        </m:r>
      </m:oMath>
      <w:r w:rsidRPr="0010031A">
        <w:t>:</w:t>
      </w:r>
    </w:p>
    <w:p w14:paraId="7E65FE68" w14:textId="32F40152" w:rsidR="0010031A" w:rsidRPr="0010031A" w:rsidRDefault="0010031A" w:rsidP="0010031A">
      <w:pPr>
        <w:jc w:val="both"/>
      </w:pPr>
      <m:oMathPara>
        <m:oMath>
          <m:acc>
            <m:accPr>
              <m:chr m:val="ˆ"/>
              <m:ctrlPr>
                <w:rPr>
                  <w:rFonts w:ascii="Cambria Math" w:hAnsi="Cambria Math"/>
                </w:rPr>
              </m:ctrlPr>
            </m:accPr>
            <m:e>
              <m:r>
                <w:rPr>
                  <w:rFonts w:ascii="Cambria Math" w:hAnsi="Cambria Math"/>
                </w:rPr>
                <m:t>h</m:t>
              </m:r>
            </m:e>
          </m:acc>
          <m: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m:rPr>
                      <m:sty m:val="p"/>
                    </m:rPr>
                    <w:rPr>
                      <w:rFonts w:ascii="Cambria Math" w:hAnsi="Cambria Math"/>
                    </w:rPr>
                    <m:t>Θ</m:t>
                  </m:r>
                </m:e>
                <m:sup>
                  <m:r>
                    <w:rPr>
                      <w:rFonts w:ascii="Cambria Math" w:hAnsi="Cambria Math"/>
                    </w:rPr>
                    <m:t>T</m:t>
                  </m:r>
                </m:sup>
              </m:sSup>
              <m:r>
                <w:rPr>
                  <w:rFonts w:ascii="Cambria Math" w:hAnsi="Cambria Math"/>
                </w:rPr>
                <m:t>x</m:t>
              </m:r>
            </m:sup>
          </m:sSup>
        </m:oMath>
      </m:oMathPara>
    </w:p>
    <w:p w14:paraId="29DDD8C3" w14:textId="77777777" w:rsidR="0010031A" w:rsidRPr="0010031A" w:rsidRDefault="0010031A" w:rsidP="0010031A">
      <w:pPr>
        <w:jc w:val="both"/>
      </w:pPr>
      <w:r w:rsidRPr="0010031A">
        <w:t>El objetivo es optimizar estos pesos utilizando descenso de gradiente para minimizar la función de pérdida sobre un conjunto de validación cruzada.</w:t>
      </w:r>
    </w:p>
    <w:p w14:paraId="3ED189C8" w14:textId="77777777" w:rsidR="0010031A" w:rsidRPr="0010031A" w:rsidRDefault="0010031A" w:rsidP="0010031A">
      <w:pPr>
        <w:jc w:val="both"/>
      </w:pPr>
      <w:r w:rsidRPr="0010031A">
        <w:t>En segundo lugar, se establece el objetivo de diseño e implementación arquitectónica. Esto abarca la construcción de un servidor backend en Python desacoplado del cliente móvil, la persistencia de datos relacionales en PostgreSQL optimizada para lecturas concurrentes, y la implementación de un sistema de colas en memoria (Redis/Celery) para diferir la carga computacional que supone el recálculo diario de las curvas de olvido de todos los usuarios activos.</w:t>
      </w:r>
    </w:p>
    <w:p w14:paraId="079F8870" w14:textId="77777777" w:rsidR="0010031A" w:rsidRPr="0010031A" w:rsidRDefault="0010031A" w:rsidP="0010031A">
      <w:pPr>
        <w:jc w:val="both"/>
      </w:pPr>
      <w:r w:rsidRPr="0010031A">
        <w:t>Finalmente, el objetivo de producto y validación se centra en materializar la interfaz de usuario mediante un sistema de componentes paramétricos, integrando dinámicas de retención comprobadas en el sector. La validez de la solución se medirá empíricamente comprobando si el modelo predictivo reduce el Error Absoluto Medio (MAE) de predicción de la tasa de recuerdo respecto al sistema heurístico de control (SM-2).</w:t>
      </w:r>
    </w:p>
    <w:p w14:paraId="0E41EECE" w14:textId="77777777" w:rsidR="0010031A" w:rsidRPr="0010031A" w:rsidRDefault="0010031A" w:rsidP="0010031A">
      <w:pPr>
        <w:jc w:val="both"/>
        <w:rPr>
          <w:b/>
          <w:bCs/>
        </w:rPr>
      </w:pPr>
      <w:r w:rsidRPr="0010031A">
        <w:rPr>
          <w:b/>
          <w:bCs/>
        </w:rPr>
        <w:t>1.4 Estructura de la memoria</w:t>
      </w:r>
    </w:p>
    <w:p w14:paraId="12731E92" w14:textId="77777777" w:rsidR="0010031A" w:rsidRPr="0010031A" w:rsidRDefault="0010031A" w:rsidP="0010031A">
      <w:pPr>
        <w:jc w:val="both"/>
      </w:pPr>
      <w:r w:rsidRPr="0010031A">
        <w:t xml:space="preserve">El presente documento se vertebra en ocho capítulos diseñados para exponer progresivamente el análisis, la formulación y la implementación del sistema propuesto. Tras este primer capítulo introductorio, el Capítulo 2 (Estado del Arte) realiza una revisión exhaustiva de la literatura referente a sistemas de </w:t>
      </w:r>
      <w:r w:rsidRPr="0010031A">
        <w:rPr>
          <w:i/>
          <w:iCs/>
        </w:rPr>
        <w:t>microlearning</w:t>
      </w:r>
      <w:r w:rsidRPr="0010031A">
        <w:t xml:space="preserve">, analizando críticamente la transición de los algoritmos de </w:t>
      </w:r>
      <w:r w:rsidRPr="0010031A">
        <w:lastRenderedPageBreak/>
        <w:t>repaso heurísticos hacia modelos probabilísticos de regresión, evaluando a su vez el panorama actual de recursos de Procesamiento del Lenguaje Natural aplicables al gallego.</w:t>
      </w:r>
    </w:p>
    <w:p w14:paraId="65687053" w14:textId="77777777" w:rsidR="0010031A" w:rsidRPr="0010031A" w:rsidRDefault="0010031A" w:rsidP="0010031A">
      <w:pPr>
        <w:jc w:val="both"/>
      </w:pPr>
      <w:r w:rsidRPr="0010031A">
        <w:t>El Capítulo 3 acota rigurosamente los objetivos técnicos y el alcance del Producto Mínimo Viable (MVP), sentando las hipótesis de investigación formales. A continuación, el Capítulo 4 (Diseño del Sistema) detalla la topología de la arquitectura cliente-servidor, exponiendo el modelado de la base de datos relacional y las decisiones de diseño de interfaz e infraestructura.</w:t>
      </w:r>
    </w:p>
    <w:p w14:paraId="72A9FD36" w14:textId="77777777" w:rsidR="0010031A" w:rsidRPr="0010031A" w:rsidRDefault="0010031A" w:rsidP="0010031A">
      <w:pPr>
        <w:jc w:val="both"/>
      </w:pPr>
      <w:r w:rsidRPr="0010031A">
        <w:t xml:space="preserve">El núcleo científico se desarrolla en el Capítulo 5 (Metodología), donde se formulan matemáticamente el modelo base (SM-2) y el modelo propuesto (HLR), estableciendo las métricas de evaluación del error y el diseño de la validación cruzada para evitar el sobreajuste predictivo. El Capítulo 6 (Desarrollo e Implementación) traslada dichos modelos al código, documentando la programación del </w:t>
      </w:r>
      <w:r w:rsidRPr="0010031A">
        <w:rPr>
          <w:i/>
          <w:iCs/>
        </w:rPr>
        <w:t>backend</w:t>
      </w:r>
      <w:r w:rsidRPr="0010031A">
        <w:t>, la gestión del estado en el cliente móvil y la orquestación de la integración continua.</w:t>
      </w:r>
    </w:p>
    <w:p w14:paraId="7E63F161" w14:textId="77777777" w:rsidR="0010031A" w:rsidRDefault="0010031A" w:rsidP="0010031A">
      <w:pPr>
        <w:jc w:val="both"/>
      </w:pPr>
      <w:r w:rsidRPr="0010031A">
        <w:t>Por último, el Capítulo 7 (Resultados y Evaluación) presenta el contraste estadístico entre los modelos y analiza las métricas de uso de la plataforma, conduciendo al Capítulo 8, donde se exponen las conclusiones finales y se trazan las líneas futuras de investigación en la expansión del corpus lingüístico y la optimización de los modelos predictivos.</w:t>
      </w:r>
    </w:p>
    <w:p w14:paraId="04A64D35" w14:textId="77777777" w:rsidR="0010031A" w:rsidRPr="0010031A" w:rsidRDefault="0010031A" w:rsidP="0010031A">
      <w:pPr>
        <w:jc w:val="both"/>
        <w:rPr>
          <w:b/>
          <w:bCs/>
        </w:rPr>
      </w:pPr>
      <w:r w:rsidRPr="0010031A">
        <w:rPr>
          <w:b/>
          <w:bCs/>
        </w:rPr>
        <w:t>2. Estado del arte</w:t>
      </w:r>
    </w:p>
    <w:p w14:paraId="7AEC9F26" w14:textId="77777777" w:rsidR="0010031A" w:rsidRPr="0010031A" w:rsidRDefault="0010031A" w:rsidP="0010031A">
      <w:pPr>
        <w:jc w:val="both"/>
      </w:pPr>
      <w:r w:rsidRPr="0010031A">
        <w:t>El diseño de un sistema inteligente de aprendizaje de idiomas requiere la hibridación de tres dominios de conocimiento tecnológico y científico: la ingeniería de interfaces aplicadas al microaprendizaje, los modelos computacionales de retención de memoria y el Procesamiento del Lenguaje Natural (PLN). Este capítulo analiza críticamente el grado de madurez de cada una de estas áreas, identificando la brecha estructural que justifica el desarrollo de la plataforma propuesta.</w:t>
      </w:r>
    </w:p>
    <w:p w14:paraId="62A27E25" w14:textId="77777777" w:rsidR="0010031A" w:rsidRPr="0010031A" w:rsidRDefault="0010031A" w:rsidP="0010031A">
      <w:pPr>
        <w:jc w:val="both"/>
        <w:rPr>
          <w:b/>
          <w:bCs/>
        </w:rPr>
      </w:pPr>
      <w:r w:rsidRPr="0010031A">
        <w:rPr>
          <w:b/>
          <w:bCs/>
        </w:rPr>
        <w:t>2.1 Sistemas de microlearning y gamificación en aprendizaje de idiomas</w:t>
      </w:r>
    </w:p>
    <w:p w14:paraId="0ECE4FB3" w14:textId="77777777" w:rsidR="0010031A" w:rsidRPr="0010031A" w:rsidRDefault="0010031A" w:rsidP="0010031A">
      <w:pPr>
        <w:jc w:val="both"/>
      </w:pPr>
      <w:r w:rsidRPr="0010031A">
        <w:t xml:space="preserve">Las plataformas de aprendizaje de idiomas basadas en </w:t>
      </w:r>
      <w:r w:rsidRPr="0010031A">
        <w:rPr>
          <w:i/>
          <w:iCs/>
        </w:rPr>
        <w:t>microlearning</w:t>
      </w:r>
      <w:r w:rsidRPr="0010031A">
        <w:t xml:space="preserve"> han transformado la forma en que millones de personas se acercan a una lengua nueva. En el ecosistema actual, soluciones comerciales como Duolingo o Babbel han estandarizado paradigmas de interacción que maximizan el tiempo de sesión del usuario mediante la segmentación del currículo en unidades atómicas de conocimiento. Duolingo estructura el aprendizaje en lecciones breves, secuenciadas y reforzadas mediante mecánicas de juego —como el control de rachas de días consecutivos o la acumulación de experiencia— diseñadas para maximizar el compromiso diario del usuario por encima de la densidad expositiva gramatical. En contraste, Babbel adopta un enfoque cognitivo orientado a diálogos contextualizados, alineando su progresión con el Marco Común Europeo de Referencia (MCER). </w:t>
      </w:r>
    </w:p>
    <w:p w14:paraId="1BD43BFA" w14:textId="77777777" w:rsidR="0010031A" w:rsidRPr="0010031A" w:rsidRDefault="0010031A" w:rsidP="0010031A">
      <w:pPr>
        <w:jc w:val="both"/>
      </w:pPr>
      <w:r w:rsidRPr="0010031A">
        <w:lastRenderedPageBreak/>
        <w:t xml:space="preserve">A pesar de su solvencia técnica y empírica, ambas arquitecturas comparten una limitación determinante para el propósito de este trabajo: su dependencia de las economías de escala. El catálogo de idiomas soportado está estrictamente determinado por el tamaño de mercado potencial, lo que sistemáticamente excluye lenguas minorizadas —como el gallego, el euskera o el catalán— de sus iteraciones algorítmicas más avanzadas. En consecuencia, el desarrollo de herramientas para estos idiomas recae en iniciativas institucionales que, si bien aportan rigor filológico, carecen de las mecánicas de gamificación, retención y diseño de experiencia de usuario (UX) características de los productos comerciales globales. </w:t>
      </w:r>
    </w:p>
    <w:p w14:paraId="380DB745" w14:textId="77777777" w:rsidR="0010031A" w:rsidRPr="0010031A" w:rsidRDefault="0010031A" w:rsidP="0010031A">
      <w:pPr>
        <w:jc w:val="both"/>
        <w:rPr>
          <w:b/>
          <w:bCs/>
        </w:rPr>
      </w:pPr>
      <w:r w:rsidRPr="0010031A">
        <w:rPr>
          <w:b/>
          <w:bCs/>
        </w:rPr>
        <w:t>2.2 Algoritmos de repetición espaciada: de heurísticas clásicas a modelos deterministas</w:t>
      </w:r>
    </w:p>
    <w:p w14:paraId="013C968E" w14:textId="77777777" w:rsidR="0010031A" w:rsidRPr="0010031A" w:rsidRDefault="0010031A" w:rsidP="0010031A">
      <w:pPr>
        <w:jc w:val="both"/>
      </w:pPr>
      <w:r w:rsidRPr="0010031A">
        <w:t>El núcleo lógico de la retención de vocabulario se fundamenta en el efecto de espaciado (</w:t>
      </w:r>
      <w:r w:rsidRPr="0010031A">
        <w:rPr>
          <w:i/>
          <w:iCs/>
        </w:rPr>
        <w:t>spacing effect</w:t>
      </w:r>
      <w:r w:rsidRPr="0010031A">
        <w:t xml:space="preserve">), un fenómeno cognitivo ampliamente documentado que demuestra que la consolidación en la memoria a largo plazo se optimiza cuando los repasos se distribuyen temporalmente frente al estudio masificado en una sola sesión. </w:t>
      </w:r>
    </w:p>
    <w:p w14:paraId="0C6879D0" w14:textId="77777777" w:rsidR="0010031A" w:rsidRPr="0010031A" w:rsidRDefault="0010031A" w:rsidP="0010031A">
      <w:pPr>
        <w:jc w:val="both"/>
      </w:pPr>
      <w:r w:rsidRPr="0010031A">
        <w:t xml:space="preserve">Históricamente, la operacionalización computacional de este efecto se ha realizado mediante heurísticas de control fijo. El sistema Leitner (1972) propuso un modelo de estados finitos donde los ítems se organizan en contenedores o "cajas"; un acierto promueve el ítem a un intervalo de repaso mayor, mientras que un fallo resetea su estado al intervalo inicial. Aunque su complejidad computacional es mínima, asume erróneamente que todos los ítems poseen la misma dificultad intrínseca y que todos los estudiantes comparten la misma curva de olvido. </w:t>
      </w:r>
    </w:p>
    <w:p w14:paraId="1F15EB32" w14:textId="30CBD347" w:rsidR="0010031A" w:rsidRPr="0010031A" w:rsidRDefault="0010031A" w:rsidP="0010031A">
      <w:pPr>
        <w:jc w:val="both"/>
      </w:pPr>
      <w:r w:rsidRPr="0010031A">
        <w:t xml:space="preserve">El salto cualitativo hacia la individualización se produjo con el algoritmo SM-2 (SuperMemo, Wozniak, 1987), el cual sigue siendo el estándar de facto en plataformas de </w:t>
      </w:r>
      <w:r w:rsidRPr="0010031A">
        <w:rPr>
          <w:i/>
          <w:iCs/>
        </w:rPr>
        <w:t>flashcards</w:t>
      </w:r>
      <w:r w:rsidRPr="0010031A">
        <w:t xml:space="preserve"> como Anki debido a su equilibrio entre coste de procesamiento computacional y eficacia empírica. El algoritmo SM-2 introduce una variable continua denominada factor de facilidad (</w:t>
      </w:r>
      <m:oMath>
        <m:r>
          <w:rPr>
            <w:rFonts w:ascii="Cambria Math" w:hAnsi="Cambria Math"/>
          </w:rPr>
          <m:t>EF</m:t>
        </m:r>
      </m:oMath>
      <w:r w:rsidRPr="0010031A">
        <w:t xml:space="preserve">, por sus siglas en inglés) que se ajusta iterativamente tras cada intento en función de la calidad de la respuesta del usuario, </w:t>
      </w:r>
      <m:oMath>
        <m:r>
          <w:rPr>
            <w:rFonts w:ascii="Cambria Math" w:hAnsi="Cambria Math"/>
          </w:rPr>
          <m:t>q</m:t>
        </m:r>
      </m:oMath>
      <w:r w:rsidRPr="0010031A">
        <w:t xml:space="preserve">, evaluada típicamente en una escala discreta de 0 a 5. El cálculo del nuevo factor de facilidad se define como: </w:t>
      </w:r>
    </w:p>
    <w:p w14:paraId="26EC98D9" w14:textId="69502DC9" w:rsidR="0010031A" w:rsidRPr="0010031A" w:rsidRDefault="0010031A" w:rsidP="0010031A">
      <w:pPr>
        <w:jc w:val="both"/>
      </w:pPr>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n-1</m:t>
              </m:r>
            </m:sub>
          </m:sSub>
          <m:r>
            <w:rPr>
              <w:rFonts w:ascii="Cambria Math" w:hAnsi="Cambria Math"/>
            </w:rPr>
            <m:t>+</m:t>
          </m:r>
          <m:d>
            <m:dPr>
              <m:ctrlPr>
                <w:rPr>
                  <w:rFonts w:ascii="Cambria Math" w:hAnsi="Cambria Math"/>
                </w:rPr>
              </m:ctrlPr>
            </m:dPr>
            <m:e>
              <m:r>
                <w:rPr>
                  <w:rFonts w:ascii="Cambria Math" w:hAnsi="Cambria Math"/>
                </w:rPr>
                <m:t>0.1-</m:t>
              </m:r>
              <m:d>
                <m:dPr>
                  <m:ctrlPr>
                    <w:rPr>
                      <w:rFonts w:ascii="Cambria Math" w:hAnsi="Cambria Math"/>
                    </w:rPr>
                  </m:ctrlPr>
                </m:dPr>
                <m:e>
                  <m:r>
                    <w:rPr>
                      <w:rFonts w:ascii="Cambria Math" w:hAnsi="Cambria Math"/>
                    </w:rPr>
                    <m:t>5-q</m:t>
                  </m:r>
                </m:e>
              </m:d>
              <m:r>
                <w:rPr>
                  <w:rFonts w:ascii="Cambria Math" w:hAnsi="Cambria Math"/>
                </w:rPr>
                <m:t>⋅</m:t>
              </m:r>
              <m:d>
                <m:dPr>
                  <m:ctrlPr>
                    <w:rPr>
                      <w:rFonts w:ascii="Cambria Math" w:hAnsi="Cambria Math"/>
                    </w:rPr>
                  </m:ctrlPr>
                </m:dPr>
                <m:e>
                  <m:r>
                    <w:rPr>
                      <w:rFonts w:ascii="Cambria Math" w:hAnsi="Cambria Math"/>
                    </w:rPr>
                    <m:t>0.08+</m:t>
                  </m:r>
                  <m:d>
                    <m:dPr>
                      <m:ctrlPr>
                        <w:rPr>
                          <w:rFonts w:ascii="Cambria Math" w:hAnsi="Cambria Math"/>
                        </w:rPr>
                      </m:ctrlPr>
                    </m:dPr>
                    <m:e>
                      <m:r>
                        <w:rPr>
                          <w:rFonts w:ascii="Cambria Math" w:hAnsi="Cambria Math"/>
                        </w:rPr>
                        <m:t>5-q</m:t>
                      </m:r>
                    </m:e>
                  </m:d>
                  <m:r>
                    <w:rPr>
                      <w:rFonts w:ascii="Cambria Math" w:hAnsi="Cambria Math"/>
                    </w:rPr>
                    <m:t>⋅0.02</m:t>
                  </m:r>
                </m:e>
              </m:d>
            </m:e>
          </m:d>
        </m:oMath>
      </m:oMathPara>
    </w:p>
    <w:p w14:paraId="5DB07716" w14:textId="2A1DC85E" w:rsidR="0010031A" w:rsidRPr="0010031A" w:rsidRDefault="0010031A" w:rsidP="0010031A">
      <w:pPr>
        <w:jc w:val="both"/>
      </w:pPr>
      <w:r w:rsidRPr="0010031A">
        <w:t xml:space="preserve">Con la restricción de que </w:t>
      </w:r>
      <m:oMath>
        <m:r>
          <w:rPr>
            <w:rFonts w:ascii="Cambria Math" w:hAnsi="Cambria Math"/>
          </w:rPr>
          <m:t>EF≥1.3</m:t>
        </m:r>
      </m:oMath>
      <w:r w:rsidRPr="0010031A">
        <w:t xml:space="preserve">. Posteriormente, el intervalo óptimo en días para el </w:t>
      </w:r>
      <m:oMath>
        <m:r>
          <w:rPr>
            <w:rFonts w:ascii="Cambria Math" w:hAnsi="Cambria Math"/>
          </w:rPr>
          <m:t>n</m:t>
        </m:r>
      </m:oMath>
      <w:r w:rsidRPr="0010031A">
        <w:t xml:space="preserve">-ésimo repaso, </w:t>
      </w:r>
      <m:oMath>
        <m:r>
          <w:rPr>
            <w:rFonts w:ascii="Cambria Math" w:hAnsi="Cambria Math"/>
          </w:rPr>
          <m:t>I</m:t>
        </m:r>
        <m:d>
          <m:dPr>
            <m:ctrlPr>
              <w:rPr>
                <w:rFonts w:ascii="Cambria Math" w:hAnsi="Cambria Math"/>
              </w:rPr>
            </m:ctrlPr>
          </m:dPr>
          <m:e>
            <m:r>
              <w:rPr>
                <w:rFonts w:ascii="Cambria Math" w:hAnsi="Cambria Math"/>
              </w:rPr>
              <m:t>n</m:t>
            </m:r>
          </m:e>
        </m:d>
      </m:oMath>
      <w:r w:rsidRPr="0010031A">
        <w:t xml:space="preserve">, se calcula determinísticamente como </w:t>
      </w:r>
      <m:oMath>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=I</m:t>
        </m:r>
        <m:d>
          <m:dPr>
            <m:ctrlPr>
              <w:rPr>
                <w:rFonts w:ascii="Cambria Math" w:hAnsi="Cambria Math"/>
              </w:rPr>
            </m:ctrlPr>
          </m:dPr>
          <m:e>
            <m:r>
              <w:rPr>
                <w:rFonts w:ascii="Cambria Math" w:hAnsi="Cambria Math"/>
              </w:rPr>
              <m:t>n-1</m:t>
            </m:r>
          </m:e>
        </m:d>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m:t>
            </m:r>
          </m:sub>
        </m:sSub>
      </m:oMath>
      <w:r w:rsidRPr="0010031A">
        <w:t>. A pesar de introducir sensibilidad al historial del ítem, SM-2 presenta una severa limitación arquitectónica: sus hiperparámetros de penalización y crecimiento están codificados de forma rígida (</w:t>
      </w:r>
      <w:r w:rsidRPr="0010031A">
        <w:rPr>
          <w:i/>
          <w:iCs/>
        </w:rPr>
        <w:t>hardcoded</w:t>
      </w:r>
      <w:r w:rsidRPr="0010031A">
        <w:t xml:space="preserve">) por el diseñador del sistema, descartando la posibilidad de aprender patrones latentes a partir de la distribución de datos poblacionales. </w:t>
      </w:r>
    </w:p>
    <w:p w14:paraId="1568FDA1" w14:textId="77777777" w:rsidR="0010031A" w:rsidRDefault="0010031A" w:rsidP="0010031A">
      <w:pPr>
        <w:jc w:val="both"/>
        <w:rPr>
          <w:b/>
          <w:bCs/>
        </w:rPr>
      </w:pPr>
    </w:p>
    <w:p w14:paraId="55D57CAB" w14:textId="5CDC95BB" w:rsidR="0010031A" w:rsidRPr="0010031A" w:rsidRDefault="0010031A" w:rsidP="0010031A">
      <w:pPr>
        <w:jc w:val="both"/>
        <w:rPr>
          <w:b/>
          <w:bCs/>
        </w:rPr>
      </w:pPr>
      <w:r w:rsidRPr="0010031A">
        <w:rPr>
          <w:b/>
          <w:bCs/>
        </w:rPr>
        <w:lastRenderedPageBreak/>
        <w:t>2.3 Regresión de Vida Media (HLR) y predicción probabilística</w:t>
      </w:r>
    </w:p>
    <w:p w14:paraId="7A1C7D0A" w14:textId="77777777" w:rsidR="0010031A" w:rsidRPr="0010031A" w:rsidRDefault="0010031A" w:rsidP="0010031A">
      <w:pPr>
        <w:jc w:val="both"/>
      </w:pPr>
      <w:r w:rsidRPr="0010031A">
        <w:t>Para superar las deficiencias de los modelos deterministas, la investigación reciente ha pivotado hacia enfoques estadísticos entrenables, motivados por la disponibilidad de trazas de interacción masivas. El avance más significativo en este dominio es el modelo de Regresión de Vida Media (</w:t>
      </w:r>
      <w:r w:rsidRPr="0010031A">
        <w:rPr>
          <w:i/>
          <w:iCs/>
        </w:rPr>
        <w:t>Half-Life Regression</w:t>
      </w:r>
      <w:r w:rsidRPr="0010031A">
        <w:t xml:space="preserve">, HLR), el cual combina la teoría psicolingüística subyacente a la curva de Ebbinghaus con técnicas de </w:t>
      </w:r>
      <w:r w:rsidRPr="0010031A">
        <w:rPr>
          <w:i/>
          <w:iCs/>
        </w:rPr>
        <w:t>machine learning</w:t>
      </w:r>
      <w:r w:rsidRPr="0010031A">
        <w:t xml:space="preserve"> contemporáneas. </w:t>
      </w:r>
    </w:p>
    <w:p w14:paraId="31F5EF6E" w14:textId="33F2F1E1" w:rsidR="0010031A" w:rsidRPr="0010031A" w:rsidRDefault="0010031A" w:rsidP="0010031A">
      <w:pPr>
        <w:jc w:val="both"/>
      </w:pPr>
      <w:r w:rsidRPr="0010031A">
        <w:t xml:space="preserve">En su formulación original, HLR asume que la probabilidad de recuerdo </w:t>
      </w:r>
      <m:oMath>
        <m:r>
          <w:rPr>
            <w:rFonts w:ascii="Cambria Math" w:hAnsi="Cambria Math"/>
          </w:rPr>
          <m:t>p</m:t>
        </m:r>
      </m:oMath>
      <w:r w:rsidRPr="0010031A">
        <w:t xml:space="preserve"> sigue el decaimiento exponencial detallado en la ecuación de Ebbinghaus, pero modela la fuerza de la memoria o "vida media" </w:t>
      </w:r>
      <m:oMath>
        <m:r>
          <w:rPr>
            <w:rFonts w:ascii="Cambria Math" w:hAnsi="Cambria Math"/>
          </w:rPr>
          <m:t>h</m:t>
        </m:r>
      </m:oMath>
      <w:r w:rsidRPr="0010031A">
        <w:t xml:space="preserve"> como una variable latente. Para estimar esta variable, el algoritmo proyecta un vector de características </w:t>
      </w:r>
      <m:oMath>
        <m:r>
          <w:rPr>
            <w:rFonts w:ascii="Cambria Math" w:hAnsi="Cambria Math"/>
          </w:rPr>
          <m:t>x</m:t>
        </m:r>
      </m:oMath>
      <w:r w:rsidRPr="0010031A">
        <w:t xml:space="preserve"> del intento de estudio (que incluye recuentos históricos de aciertos, fallos y representaciones lexicométricas) a través de un conjunto de pesos de regresión </w:t>
      </w:r>
      <m:oMath>
        <m:r>
          <m:rPr>
            <m:sty m:val="p"/>
          </m:rPr>
          <w:rPr>
            <w:rFonts w:ascii="Cambria Math" w:hAnsi="Cambria Math"/>
          </w:rPr>
          <m:t>Θ</m:t>
        </m:r>
      </m:oMath>
      <w:r w:rsidRPr="0010031A">
        <w:t xml:space="preserve"> que son optimizados durante la fase de entrenamiento:</w:t>
      </w:r>
    </w:p>
    <w:p w14:paraId="42EF201C" w14:textId="0DC5CFDF" w:rsidR="0010031A" w:rsidRPr="0010031A" w:rsidRDefault="0010031A" w:rsidP="0010031A">
      <w:pPr>
        <w:jc w:val="both"/>
      </w:pPr>
      <m:oMathPara>
        <m:oMath>
          <m:r>
            <w:rPr>
              <w:rFonts w:ascii="Cambria Math" w:hAnsi="Cambria Math"/>
            </w:rPr>
            <m:t>h=</m:t>
          </m:r>
          <m:sSup>
            <m:sSupPr>
              <m:ctrlPr>
                <w:rPr>
                  <w:rFonts w:ascii="Cambria Math" w:hAnsi="Cambria Math"/>
                </w:rPr>
              </m:ctrlPr>
            </m:sSupPr>
            <m:e>
              <m:r>
                <w:rPr>
                  <w:rFonts w:ascii="Cambria Math" w:hAnsi="Cambria Math"/>
                </w:rPr>
                <m:t>2</m:t>
              </m:r>
            </m:e>
            <m:sup>
              <m:r>
                <m:rPr>
                  <m:sty m:val="p"/>
                </m:rPr>
                <w:rPr>
                  <w:rFonts w:ascii="Cambria Math" w:hAnsi="Cambria Math"/>
                </w:rPr>
                <m:t>Θ</m:t>
              </m:r>
              <m:r>
                <w:rPr>
                  <w:rFonts w:ascii="Cambria Math" w:hAnsi="Cambria Math"/>
                </w:rPr>
                <m:t>⋅x</m:t>
              </m:r>
            </m:sup>
          </m:sSup>
        </m:oMath>
      </m:oMathPara>
    </w:p>
    <w:p w14:paraId="6AAFA125" w14:textId="77777777" w:rsidR="0010031A" w:rsidRPr="0010031A" w:rsidRDefault="0010031A" w:rsidP="0010031A">
      <w:pPr>
        <w:jc w:val="both"/>
      </w:pPr>
      <w:r w:rsidRPr="0010031A">
        <w:t xml:space="preserve">La función objetivo del modelo minimiza la divergencia entre la probabilidad de recuerdo predicha y la observada empíricamente (1 para acierto, 0 para fallo), introduciendo adicionalmente términos de regularización para evitar el sobreajuste. Al implementar HLR en entornos de producción, se ha constatado una mejora radical frente a heurísticas previas; específicamente, el modelo redujo en más de un 45% el error de predicción del recuerdo frente a los modelos de referencia en conjuntos de datos aislados. Desde la perspectiva de la ingeniería de producto, la adopción operativa de este modelo generó un incremento medible del 12% en el compromiso diario y retención de usuarios activos, demostrando que la precisión del motor algorítmico es una variable de primer orden en el éxito comercial de la plataforma. </w:t>
      </w:r>
    </w:p>
    <w:p w14:paraId="6EC5F383" w14:textId="77777777" w:rsidR="0010031A" w:rsidRPr="0010031A" w:rsidRDefault="0010031A" w:rsidP="0010031A">
      <w:pPr>
        <w:jc w:val="both"/>
        <w:rPr>
          <w:b/>
          <w:bCs/>
        </w:rPr>
      </w:pPr>
      <w:r w:rsidRPr="0010031A">
        <w:rPr>
          <w:b/>
          <w:bCs/>
        </w:rPr>
        <w:t>2.4 Recursos de PLN para lenguas de bajo recurso: el caso del gallego</w:t>
      </w:r>
    </w:p>
    <w:p w14:paraId="3B1BD815" w14:textId="77777777" w:rsidR="0010031A" w:rsidRPr="0010031A" w:rsidRDefault="0010031A" w:rsidP="0010031A">
      <w:pPr>
        <w:jc w:val="both"/>
      </w:pPr>
      <w:r w:rsidRPr="0010031A">
        <w:t xml:space="preserve">La implementación de plataformas dinámicas requiere bases de datos léxicas estructuradas. El gallego, catalogado algorítmicamente como una lengua de bajo recurso computacional, presenta limitaciones en el volumen de sus corpus anotados frente a lenguas globales. No obstante, el ecosistema de investigación, liderado por el Instituto da Lingua Galega (ILG), proporciona bases fundamentales sólidas. </w:t>
      </w:r>
    </w:p>
    <w:p w14:paraId="363D8242" w14:textId="77777777" w:rsidR="0010031A" w:rsidRPr="0010031A" w:rsidRDefault="0010031A" w:rsidP="0010031A">
      <w:pPr>
        <w:jc w:val="both"/>
      </w:pPr>
      <w:r w:rsidRPr="0010031A">
        <w:t xml:space="preserve">Entre las infraestructuras de datos disponibles destaca CORILGA (Corpus Oral Informatizado da Lingua Galega), que proporciona transcripciones alineadas a niveles ortográficos y fonéticos. Este recurso resulta esencial para proyectar futuras integraciones de reconocimiento automático de voz (ASR) o síntesis inmersiva. En paralelo, el ILG ha desarrollado herramientas de flexión nominal y verbal para el gallego y el portugués, orientadas a la producción automática de lenguaje natural. </w:t>
      </w:r>
    </w:p>
    <w:p w14:paraId="70BAF5A4" w14:textId="77777777" w:rsidR="0010031A" w:rsidRPr="0010031A" w:rsidRDefault="0010031A" w:rsidP="0010031A">
      <w:pPr>
        <w:jc w:val="both"/>
      </w:pPr>
      <w:r w:rsidRPr="0010031A">
        <w:lastRenderedPageBreak/>
        <w:t xml:space="preserve">Desde la óptica de la traducción estadística y la generación de corpus sintéticos, la investigación ha demostrado la viabilidad de explotar la proximidad tipológica y ortográfica entre el gallego y el portugués normativo. Trabajos previos han logrado construir sistemas paralelos aprovechando esta convergencia, sugiriendo una vía metodológica robusta para la expansión automatizada de los diccionarios relacionales del sistema propuesto, mitigando la escasez de oraciones de ejemplo puramente nativas. </w:t>
      </w:r>
    </w:p>
    <w:p w14:paraId="4F6E8259" w14:textId="77777777" w:rsidR="0010031A" w:rsidRPr="0010031A" w:rsidRDefault="0010031A" w:rsidP="0010031A">
      <w:pPr>
        <w:jc w:val="both"/>
        <w:rPr>
          <w:b/>
          <w:bCs/>
        </w:rPr>
      </w:pPr>
      <w:r w:rsidRPr="0010031A">
        <w:rPr>
          <w:b/>
          <w:bCs/>
        </w:rPr>
        <w:t>2.5 Conclusiones del estado del arte y posicionamiento del trabajo</w:t>
      </w:r>
    </w:p>
    <w:p w14:paraId="5D8B6E37" w14:textId="77777777" w:rsidR="0010031A" w:rsidRPr="0010031A" w:rsidRDefault="0010031A" w:rsidP="0010031A">
      <w:pPr>
        <w:jc w:val="both"/>
      </w:pPr>
      <w:r w:rsidRPr="0010031A">
        <w:t xml:space="preserve">La revisión bibliográfica y técnica evidencia una triple brecha estructural: </w:t>
      </w:r>
    </w:p>
    <w:p w14:paraId="491024AC" w14:textId="77777777" w:rsidR="0010031A" w:rsidRPr="0010031A" w:rsidRDefault="0010031A" w:rsidP="0010031A">
      <w:pPr>
        <w:numPr>
          <w:ilvl w:val="0"/>
          <w:numId w:val="2"/>
        </w:numPr>
        <w:jc w:val="both"/>
      </w:pPr>
      <w:r w:rsidRPr="0010031A">
        <w:rPr>
          <w:b/>
          <w:bCs/>
        </w:rPr>
        <w:t>Brecha de producto:</w:t>
      </w:r>
      <w:r w:rsidRPr="0010031A">
        <w:t xml:space="preserve"> Las mecánicas de </w:t>
      </w:r>
      <w:r w:rsidRPr="0010031A">
        <w:rPr>
          <w:i/>
          <w:iCs/>
        </w:rPr>
        <w:t>microlearning</w:t>
      </w:r>
      <w:r w:rsidRPr="0010031A">
        <w:t xml:space="preserve"> y gamificación están ampliamente validadas empíricamente, pero el sesgo de mercado excluye su aplicación nativa al idioma gallego. </w:t>
      </w:r>
    </w:p>
    <w:p w14:paraId="0B5BBB85" w14:textId="77777777" w:rsidR="0010031A" w:rsidRPr="0010031A" w:rsidRDefault="0010031A" w:rsidP="0010031A">
      <w:pPr>
        <w:numPr>
          <w:ilvl w:val="0"/>
          <w:numId w:val="2"/>
        </w:numPr>
        <w:jc w:val="both"/>
      </w:pPr>
      <w:r w:rsidRPr="0010031A">
        <w:rPr>
          <w:b/>
          <w:bCs/>
        </w:rPr>
        <w:t>Brecha metodológica:</w:t>
      </w:r>
      <w:r w:rsidRPr="0010031A">
        <w:t xml:space="preserve"> Subsiste un anacronismo tecnológico en las aplicaciones de </w:t>
      </w:r>
      <w:r w:rsidRPr="0010031A">
        <w:rPr>
          <w:i/>
          <w:iCs/>
        </w:rPr>
        <w:t>flashcards</w:t>
      </w:r>
      <w:r w:rsidRPr="0010031A">
        <w:t xml:space="preserve"> orientadas a nichos lingüísticos, las cuales operan bajo algoritmos heurísticos estáticos (SM-2, Leitner) e ignoran la inferencia probabilística basada en datos de interacción (como HLR). </w:t>
      </w:r>
    </w:p>
    <w:p w14:paraId="59359968" w14:textId="77777777" w:rsidR="0010031A" w:rsidRPr="0010031A" w:rsidRDefault="0010031A" w:rsidP="0010031A">
      <w:pPr>
        <w:numPr>
          <w:ilvl w:val="0"/>
          <w:numId w:val="2"/>
        </w:numPr>
        <w:jc w:val="both"/>
      </w:pPr>
      <w:r w:rsidRPr="0010031A">
        <w:rPr>
          <w:b/>
          <w:bCs/>
        </w:rPr>
        <w:t>Brecha de integración:</w:t>
      </w:r>
      <w:r w:rsidRPr="0010031A">
        <w:t xml:space="preserve"> Existen recursos fonéticos, sintácticos y de flexión en el ecosistema investigador gallego, pero operan en silos académicos, sin integración técnica en una arquitectura orientada al usuario final. </w:t>
      </w:r>
    </w:p>
    <w:p w14:paraId="784B1E8B" w14:textId="77777777" w:rsidR="0010031A" w:rsidRPr="0010031A" w:rsidRDefault="0010031A" w:rsidP="0010031A">
      <w:pPr>
        <w:jc w:val="both"/>
      </w:pPr>
      <w:r w:rsidRPr="0010031A">
        <w:t xml:space="preserve">La arquitectura y los modelos propuestos en este Trabajo de Fin de Máster se posicionan precisamente en la intersección de estas tres deficiencias. Galingo se conceptualiza no solo como una interfaz de usuario, sino como una infraestructura de </w:t>
      </w:r>
      <w:r w:rsidRPr="0010031A">
        <w:rPr>
          <w:i/>
          <w:iCs/>
        </w:rPr>
        <w:t>software</w:t>
      </w:r>
      <w:r w:rsidRPr="0010031A">
        <w:t xml:space="preserve"> adaptativa que traslada algoritmos probabilísticos de predicción de la memoria a un contexto de lenguas minorizadas, apoyándose en el estado del arte de la ingeniería de datos lingüísticos. </w:t>
      </w:r>
    </w:p>
    <w:p w14:paraId="74DFACAF" w14:textId="77777777" w:rsidR="0010031A" w:rsidRPr="0010031A" w:rsidRDefault="0010031A" w:rsidP="0010031A">
      <w:pPr>
        <w:jc w:val="both"/>
        <w:rPr>
          <w:b/>
          <w:bCs/>
        </w:rPr>
      </w:pPr>
      <w:r w:rsidRPr="0010031A">
        <w:rPr>
          <w:b/>
          <w:bCs/>
        </w:rPr>
        <w:t>3. Objetivos y alcance</w:t>
      </w:r>
    </w:p>
    <w:p w14:paraId="43F0AEE2" w14:textId="77777777" w:rsidR="0010031A" w:rsidRPr="0010031A" w:rsidRDefault="0010031A" w:rsidP="0010031A">
      <w:pPr>
        <w:jc w:val="both"/>
      </w:pPr>
      <w:r w:rsidRPr="0010031A">
        <w:t>Para garantizar la rigurosidad técnica y la viabilidad temporal del desarrollo propuesto, este capítulo define de manera explícita y unívoca las metas del proyecto, delimitando el alcance funcional de la solución algorítmica y del Producto Mínimo Viable (MVP).</w:t>
      </w:r>
    </w:p>
    <w:p w14:paraId="0371F0F1" w14:textId="77777777" w:rsidR="0010031A" w:rsidRPr="0010031A" w:rsidRDefault="0010031A" w:rsidP="0010031A">
      <w:pPr>
        <w:jc w:val="both"/>
        <w:rPr>
          <w:b/>
          <w:bCs/>
        </w:rPr>
      </w:pPr>
      <w:r w:rsidRPr="0010031A">
        <w:rPr>
          <w:b/>
          <w:bCs/>
        </w:rPr>
        <w:t>3.1 Objetivo general</w:t>
      </w:r>
    </w:p>
    <w:p w14:paraId="4535030D" w14:textId="77777777" w:rsidR="0010031A" w:rsidRPr="0010031A" w:rsidRDefault="0010031A" w:rsidP="0010031A">
      <w:pPr>
        <w:jc w:val="both"/>
      </w:pPr>
      <w:r w:rsidRPr="0010031A">
        <w:t xml:space="preserve">El objetivo central de esta investigación empírica e ingeniería aplicada es diseñar, implementar a nivel de microservicios y validar analíticamente una plataforma móvil ("Galingo") estructurada bajo el paradigma de </w:t>
      </w:r>
      <w:r w:rsidRPr="0010031A">
        <w:rPr>
          <w:i/>
          <w:iCs/>
        </w:rPr>
        <w:t>microlearning</w:t>
      </w:r>
      <w:r w:rsidRPr="0010031A">
        <w:t xml:space="preserve">. El propósito subyacente es integrar un algoritmo probabilístico de Regresión de Vida Media entrenado con datos de interacción para optimizar la </w:t>
      </w:r>
      <w:r w:rsidRPr="0010031A">
        <w:lastRenderedPageBreak/>
        <w:t xml:space="preserve">curva de asimilación del gallego en usuarios no gallegoparlantes, superando las métricas de retención de información proyectadas por las heurísticas clásicas del estado del arte. </w:t>
      </w:r>
    </w:p>
    <w:p w14:paraId="1DC2D7BA" w14:textId="77777777" w:rsidR="0010031A" w:rsidRPr="0010031A" w:rsidRDefault="0010031A" w:rsidP="0010031A">
      <w:pPr>
        <w:jc w:val="both"/>
        <w:rPr>
          <w:b/>
          <w:bCs/>
        </w:rPr>
      </w:pPr>
      <w:r w:rsidRPr="0010031A">
        <w:rPr>
          <w:b/>
          <w:bCs/>
        </w:rPr>
        <w:t>3.2 Objetivos específicos</w:t>
      </w:r>
    </w:p>
    <w:p w14:paraId="56DAB16B" w14:textId="77777777" w:rsidR="0010031A" w:rsidRPr="0010031A" w:rsidRDefault="0010031A" w:rsidP="0010031A">
      <w:pPr>
        <w:jc w:val="both"/>
      </w:pPr>
      <w:r w:rsidRPr="0010031A">
        <w:t>Para la consecución del objetivo general, la ingeniería del proyecto se desglosa en dos vectores de especialización técnica: los requisitos arquitectónico-algorítmicos y los requisitos de interfaz de producto.</w:t>
      </w:r>
    </w:p>
    <w:p w14:paraId="1ED52E37" w14:textId="77777777" w:rsidR="0010031A" w:rsidRPr="0010031A" w:rsidRDefault="0010031A" w:rsidP="0010031A">
      <w:pPr>
        <w:jc w:val="both"/>
      </w:pPr>
      <w:r w:rsidRPr="0010031A">
        <w:rPr>
          <w:b/>
          <w:bCs/>
        </w:rPr>
        <w:t>Objetivos técnicos y algorítmicos:</w:t>
      </w:r>
    </w:p>
    <w:p w14:paraId="735AAD5F" w14:textId="77777777" w:rsidR="0010031A" w:rsidRPr="0010031A" w:rsidRDefault="0010031A" w:rsidP="0010031A">
      <w:pPr>
        <w:numPr>
          <w:ilvl w:val="0"/>
          <w:numId w:val="3"/>
        </w:numPr>
        <w:jc w:val="both"/>
      </w:pPr>
      <w:r w:rsidRPr="0010031A">
        <w:rPr>
          <w:b/>
          <w:bCs/>
        </w:rPr>
        <w:t>Ingeniería de datos e ingesta de eventos:</w:t>
      </w:r>
      <w:r w:rsidRPr="0010031A">
        <w:t xml:space="preserve"> Diseñar una base de datos relacional y un pipeline de procesamiento continuo que capture telemetría de interacción asíncrona de los usuarios (tiempo de latencia, calidad de respuesta y variables lexicométricas del ítem).</w:t>
      </w:r>
    </w:p>
    <w:p w14:paraId="78BA1AF5" w14:textId="77777777" w:rsidR="0010031A" w:rsidRPr="0010031A" w:rsidRDefault="0010031A" w:rsidP="0010031A">
      <w:pPr>
        <w:numPr>
          <w:ilvl w:val="0"/>
          <w:numId w:val="3"/>
        </w:numPr>
        <w:jc w:val="both"/>
      </w:pPr>
      <w:r w:rsidRPr="0010031A">
        <w:rPr>
          <w:b/>
          <w:bCs/>
        </w:rPr>
        <w:t>Modelado predictivo:</w:t>
      </w:r>
      <w:r w:rsidRPr="0010031A">
        <w:t xml:space="preserve"> Desarrollar, entrenar e integrar en la lógica del servidor un modelo de Regresión de Vida Media (HLR) que estime de forma dinámica la curva de decaimiento de memoria, sustituyendo a los intervalos de repaso estáticos. </w:t>
      </w:r>
    </w:p>
    <w:p w14:paraId="16A9162D" w14:textId="77777777" w:rsidR="0010031A" w:rsidRPr="0010031A" w:rsidRDefault="0010031A" w:rsidP="0010031A">
      <w:pPr>
        <w:numPr>
          <w:ilvl w:val="0"/>
          <w:numId w:val="3"/>
        </w:numPr>
        <w:jc w:val="both"/>
      </w:pPr>
      <w:r w:rsidRPr="0010031A">
        <w:rPr>
          <w:b/>
          <w:bCs/>
        </w:rPr>
        <w:t>Arquitectura de backend y orquestación:</w:t>
      </w:r>
      <w:r w:rsidRPr="0010031A">
        <w:t xml:space="preserve"> Construir una API RESTful desacoplada, utilizando contenedores para aislar los entornos de producción. La arquitectura implementará delegación de tareas asíncronas para el recálculo vectorial del estado de los ítems sin bloquear el flujo principal de peticiones del servidor. </w:t>
      </w:r>
    </w:p>
    <w:p w14:paraId="2D56E4DA" w14:textId="77777777" w:rsidR="00196935" w:rsidRDefault="0010031A" w:rsidP="0010031A">
      <w:pPr>
        <w:jc w:val="both"/>
      </w:pPr>
      <w:r w:rsidRPr="0010031A">
        <w:rPr>
          <w:b/>
          <w:bCs/>
        </w:rPr>
        <w:t>Objetivos de producto (UX/UI):</w:t>
      </w:r>
      <w:r w:rsidRPr="0010031A">
        <w:t xml:space="preserve"> </w:t>
      </w:r>
    </w:p>
    <w:p w14:paraId="15A399CF" w14:textId="0EC7BF76" w:rsidR="00196935" w:rsidRPr="00196935" w:rsidRDefault="0010031A" w:rsidP="00196935">
      <w:pPr>
        <w:numPr>
          <w:ilvl w:val="0"/>
          <w:numId w:val="3"/>
        </w:numPr>
        <w:jc w:val="both"/>
      </w:pPr>
      <w:r w:rsidRPr="00196935">
        <w:rPr>
          <w:b/>
          <w:bCs/>
        </w:rPr>
        <w:t xml:space="preserve">Sistema de diseño cognitivo: </w:t>
      </w:r>
      <w:r w:rsidRPr="00196935">
        <w:t xml:space="preserve">Implementar una interfaz gráfica que reduzca drásticamente la fricción inicial, soportada por un sistema de componentes escalable parametrizado en estado, operando en sinergia con mecánicas de gamificación probadas (indicadores de racha y recompensas interactivas). </w:t>
      </w:r>
    </w:p>
    <w:p w14:paraId="6FC488D9" w14:textId="247DE7B3" w:rsidR="0010031A" w:rsidRPr="00196935" w:rsidRDefault="0010031A" w:rsidP="00196935">
      <w:pPr>
        <w:numPr>
          <w:ilvl w:val="0"/>
          <w:numId w:val="3"/>
        </w:numPr>
        <w:jc w:val="both"/>
      </w:pPr>
      <w:r w:rsidRPr="00196935">
        <w:rPr>
          <w:b/>
          <w:bCs/>
        </w:rPr>
        <w:t xml:space="preserve">Despliegue móvil integral: </w:t>
      </w:r>
      <w:r w:rsidRPr="00196935">
        <w:t xml:space="preserve">Asegurar un entorno de ejecución híbrido que permita consolidar el aprendizaje guiado lineal ("O Camiño"), la evaluación predictiva ("A Forxa") y la consulta léxico-verbal ("O Laboratorio") dentro de una misma sesión de aplicación, anulando la fragmentación tecnológica del usuario. </w:t>
      </w:r>
    </w:p>
    <w:p w14:paraId="61C2D821" w14:textId="77777777" w:rsidR="0010031A" w:rsidRPr="0010031A" w:rsidRDefault="0010031A" w:rsidP="0010031A">
      <w:pPr>
        <w:jc w:val="both"/>
        <w:rPr>
          <w:b/>
          <w:bCs/>
        </w:rPr>
      </w:pPr>
      <w:r w:rsidRPr="0010031A">
        <w:rPr>
          <w:b/>
          <w:bCs/>
        </w:rPr>
        <w:t>3.3 Alcance del MVP y limitaciones asumidas</w:t>
      </w:r>
    </w:p>
    <w:p w14:paraId="0AEA4807" w14:textId="77777777" w:rsidR="0010031A" w:rsidRPr="0010031A" w:rsidRDefault="0010031A" w:rsidP="0010031A">
      <w:pPr>
        <w:jc w:val="both"/>
      </w:pPr>
      <w:r w:rsidRPr="0010031A">
        <w:t xml:space="preserve">Con el fin de restringir el alcance a los requisitos académicos del trabajo, el desarrollo del MVP asume las siguientes delimitaciones lógicas y de contenido: </w:t>
      </w:r>
    </w:p>
    <w:p w14:paraId="58D9E672" w14:textId="77777777" w:rsidR="0010031A" w:rsidRPr="0010031A" w:rsidRDefault="0010031A" w:rsidP="0010031A">
      <w:pPr>
        <w:numPr>
          <w:ilvl w:val="0"/>
          <w:numId w:val="4"/>
        </w:numPr>
        <w:jc w:val="both"/>
      </w:pPr>
      <w:r w:rsidRPr="0010031A">
        <w:rPr>
          <w:b/>
          <w:bCs/>
        </w:rPr>
        <w:t>Alcance lingüístico:</w:t>
      </w:r>
      <w:r w:rsidRPr="0010031A">
        <w:t xml:space="preserve"> El corpus base para la evaluación de los algoritmos de predicción operará exclusivamente sobre las competencias de los niveles A1 y A2. </w:t>
      </w:r>
    </w:p>
    <w:p w14:paraId="3A6A7C34" w14:textId="77777777" w:rsidR="0010031A" w:rsidRPr="0010031A" w:rsidRDefault="0010031A" w:rsidP="0010031A">
      <w:pPr>
        <w:numPr>
          <w:ilvl w:val="0"/>
          <w:numId w:val="4"/>
        </w:numPr>
        <w:jc w:val="both"/>
      </w:pPr>
      <w:r w:rsidRPr="0010031A">
        <w:rPr>
          <w:b/>
          <w:bCs/>
        </w:rPr>
        <w:lastRenderedPageBreak/>
        <w:t>Motor morfológico:</w:t>
      </w:r>
      <w:r w:rsidRPr="0010031A">
        <w:t xml:space="preserve"> El módulo de consulta verbal restringirá su indexación y conjugación en tiempo real a la flexión de verbos puramente regulares dentro del tiempo presente, pretérito y futuro del indicativo en la versión de despliegue inicial. </w:t>
      </w:r>
    </w:p>
    <w:p w14:paraId="222BBA19" w14:textId="77777777" w:rsidR="0010031A" w:rsidRPr="0010031A" w:rsidRDefault="0010031A" w:rsidP="0010031A">
      <w:pPr>
        <w:numPr>
          <w:ilvl w:val="0"/>
          <w:numId w:val="4"/>
        </w:numPr>
        <w:jc w:val="both"/>
      </w:pPr>
      <w:r w:rsidRPr="0010031A">
        <w:rPr>
          <w:b/>
          <w:bCs/>
        </w:rPr>
        <w:t>Recursos auditivos:</w:t>
      </w:r>
      <w:r w:rsidRPr="0010031A">
        <w:t xml:space="preserve"> Ante la dificultad logística de obtener locuciones nativas de estudio exhaustivas y homogenizadas en fase de prototipado, el sistema consumirá interfaces de programación (APIs) de síntesis de voz mediante red neuronal temporalmente, asumiendo el margen de error prosódico inherente a dichas tecnologías en lenguas autonómicas. </w:t>
      </w:r>
    </w:p>
    <w:p w14:paraId="028F1772" w14:textId="77777777" w:rsidR="0010031A" w:rsidRPr="0010031A" w:rsidRDefault="0010031A" w:rsidP="0010031A">
      <w:pPr>
        <w:jc w:val="both"/>
        <w:rPr>
          <w:b/>
          <w:bCs/>
        </w:rPr>
      </w:pPr>
      <w:r w:rsidRPr="0010031A">
        <w:rPr>
          <w:b/>
          <w:bCs/>
        </w:rPr>
        <w:t>3.4 Hipótesis de investigación formal</w:t>
      </w:r>
    </w:p>
    <w:p w14:paraId="46831308" w14:textId="77777777" w:rsidR="0010031A" w:rsidRPr="0010031A" w:rsidRDefault="0010031A" w:rsidP="0010031A">
      <w:pPr>
        <w:jc w:val="both"/>
      </w:pPr>
      <w:r w:rsidRPr="0010031A">
        <w:t xml:space="preserve">La fundamentación empírica del sistema frente a líneas base del estado del arte se rige por las siguientes hipótesis comprobables estadísticamente: </w:t>
      </w:r>
    </w:p>
    <w:p w14:paraId="2D7DF09A" w14:textId="77777777" w:rsidR="0010031A" w:rsidRPr="0010031A" w:rsidRDefault="0010031A" w:rsidP="0010031A">
      <w:pPr>
        <w:numPr>
          <w:ilvl w:val="0"/>
          <w:numId w:val="5"/>
        </w:numPr>
        <w:jc w:val="both"/>
      </w:pPr>
      <w:r w:rsidRPr="0010031A">
        <w:rPr>
          <w:b/>
          <w:bCs/>
        </w:rPr>
        <w:t>Hipótesis 1 (Eficiencia predictiva):</w:t>
      </w:r>
      <w:r w:rsidRPr="0010031A">
        <w:t xml:space="preserve"> Un modelo de repetición espaciada entrenable basado en Regresión de Vida Media (HLR), alimentado mediante telemetría de interacción específica del aprendizaje de gallego, reportará un menor Error Absoluto Medio (MAE) y una curva de calibración más precisa en la predicción del recuerdo a largo plazo en comparación con el algoritmo de intervalos heurísticos SM-2. </w:t>
      </w:r>
    </w:p>
    <w:p w14:paraId="5384147E" w14:textId="77777777" w:rsidR="0010031A" w:rsidRPr="0010031A" w:rsidRDefault="0010031A" w:rsidP="0010031A">
      <w:pPr>
        <w:numPr>
          <w:ilvl w:val="0"/>
          <w:numId w:val="5"/>
        </w:numPr>
        <w:jc w:val="both"/>
      </w:pPr>
      <w:r w:rsidRPr="0010031A">
        <w:rPr>
          <w:b/>
          <w:bCs/>
        </w:rPr>
        <w:t>Hipótesis 2 (Retención de producto):</w:t>
      </w:r>
      <w:r w:rsidRPr="0010031A">
        <w:t xml:space="preserve"> La hibridación de la arquitectura de microaprendizaje gamificada e interfaces dinámicas producirá una métrica de retención técnica en el Día 7 superior de manera estadísticamente significativa en cohortes de usuarios </w:t>
      </w:r>
      <w:r w:rsidRPr="0010031A">
        <w:rPr>
          <w:i/>
          <w:iCs/>
        </w:rPr>
        <w:t>beta</w:t>
      </w:r>
      <w:r w:rsidRPr="0010031A">
        <w:t xml:space="preserve"> frente al tiempo medio de sesión reportado tradicionalmente en utilidades de diccionario y catálogos estáticos no gamificados. </w:t>
      </w:r>
    </w:p>
    <w:p w14:paraId="0D1309BB" w14:textId="77777777" w:rsidR="0010031A" w:rsidRPr="0010031A" w:rsidRDefault="0010031A" w:rsidP="0010031A">
      <w:pPr>
        <w:jc w:val="both"/>
        <w:rPr>
          <w:b/>
          <w:bCs/>
        </w:rPr>
      </w:pPr>
      <w:r w:rsidRPr="0010031A">
        <w:rPr>
          <w:b/>
          <w:bCs/>
        </w:rPr>
        <w:t>4. Diseño del sistema</w:t>
      </w:r>
    </w:p>
    <w:p w14:paraId="2E690A40" w14:textId="77777777" w:rsidR="0010031A" w:rsidRPr="0010031A" w:rsidRDefault="0010031A" w:rsidP="0010031A">
      <w:pPr>
        <w:jc w:val="both"/>
      </w:pPr>
      <w:r w:rsidRPr="0010031A">
        <w:t xml:space="preserve">El diseño de </w:t>
      </w:r>
      <w:r w:rsidRPr="0010031A">
        <w:rPr>
          <w:i/>
          <w:iCs/>
        </w:rPr>
        <w:t>software</w:t>
      </w:r>
      <w:r w:rsidRPr="0010031A">
        <w:t xml:space="preserve"> y </w:t>
      </w:r>
      <w:r w:rsidRPr="0010031A">
        <w:rPr>
          <w:i/>
          <w:iCs/>
        </w:rPr>
        <w:t>hardware</w:t>
      </w:r>
      <w:r w:rsidRPr="0010031A">
        <w:t xml:space="preserve"> lógico se fundamenta en un patrón de alta cohesión y bajo acoplamiento. Este capítulo desagrega la topología técnica de la aplicación, definiendo la estructura de ingesta de datos que alimentará los modelos descritos en capítulos posteriores.</w:t>
      </w:r>
    </w:p>
    <w:p w14:paraId="72D3A877" w14:textId="77777777" w:rsidR="00196935" w:rsidRPr="00196935" w:rsidRDefault="00196935" w:rsidP="00947B96">
      <w:pPr>
        <w:jc w:val="both"/>
        <w:rPr>
          <w:b/>
          <w:bCs/>
        </w:rPr>
      </w:pPr>
      <w:r w:rsidRPr="00196935">
        <w:rPr>
          <w:b/>
          <w:bCs/>
        </w:rPr>
        <w:t>4.1 Arquitectura general</w:t>
      </w:r>
    </w:p>
    <w:p w14:paraId="3CF2D3C4" w14:textId="77777777" w:rsidR="00196935" w:rsidRPr="00196935" w:rsidRDefault="00196935" w:rsidP="00947B96">
      <w:pPr>
        <w:jc w:val="both"/>
      </w:pPr>
      <w:r w:rsidRPr="00196935">
        <w:t>El diseño topológico de Galingo responde a un patrón cliente-servidor fundamentado en una arquitectura orientada a servicios (SOA). Para aislar la carga computacional intensiva de las operaciones de entrada/salida (I/O) cotidianas, el sistema se segmenta en tres capas lógicas:</w:t>
      </w:r>
    </w:p>
    <w:p w14:paraId="4AB2EDAE" w14:textId="77777777" w:rsidR="00196935" w:rsidRPr="00196935" w:rsidRDefault="00196935" w:rsidP="00947B96">
      <w:pPr>
        <w:numPr>
          <w:ilvl w:val="0"/>
          <w:numId w:val="7"/>
        </w:numPr>
        <w:jc w:val="both"/>
      </w:pPr>
      <w:r w:rsidRPr="00196935">
        <w:rPr>
          <w:b/>
          <w:bCs/>
        </w:rPr>
        <w:t>Capa de Presentación (Frontend):</w:t>
      </w:r>
      <w:r w:rsidRPr="00196935">
        <w:t xml:space="preserve"> Aplicación móvil híbrida responsable de la gestión del estado local y la renderización de la interfaz. Se comunica de forma asíncrona mediante un protocolo RESTful sobre HTTPS.</w:t>
      </w:r>
    </w:p>
    <w:p w14:paraId="4D550021" w14:textId="77777777" w:rsidR="00196935" w:rsidRPr="00196935" w:rsidRDefault="00196935" w:rsidP="00947B96">
      <w:pPr>
        <w:numPr>
          <w:ilvl w:val="0"/>
          <w:numId w:val="7"/>
        </w:numPr>
        <w:jc w:val="both"/>
      </w:pPr>
      <w:r w:rsidRPr="00196935">
        <w:rPr>
          <w:b/>
          <w:bCs/>
        </w:rPr>
        <w:lastRenderedPageBreak/>
        <w:t>Capa de Aplicación y Lógica de Negocio (Backend):</w:t>
      </w:r>
      <w:r w:rsidRPr="00196935">
        <w:t xml:space="preserve"> Servidor central desarrollado en Python que procesa la validación de ejercicios, la autenticación y la orquestación del flujo de lecciones.</w:t>
      </w:r>
    </w:p>
    <w:p w14:paraId="50F2DC9C" w14:textId="77777777" w:rsidR="00196935" w:rsidRPr="00196935" w:rsidRDefault="00196935" w:rsidP="00947B96">
      <w:pPr>
        <w:numPr>
          <w:ilvl w:val="0"/>
          <w:numId w:val="7"/>
        </w:numPr>
        <w:jc w:val="both"/>
      </w:pPr>
      <w:r w:rsidRPr="00196935">
        <w:rPr>
          <w:b/>
          <w:bCs/>
        </w:rPr>
        <w:t>Capa de Aprendizaje Automático (ML Worker):</w:t>
      </w:r>
      <w:r w:rsidRPr="00196935">
        <w:t xml:space="preserve"> Un nodo de procesamiento en segundo plano que, apoyado por un intermediario de mensajes (como Redis) y un gestor de tareas asíncronas (Celery), absorbe la telemetría de interacción para entrenar e inferir las predicciones de la Regresión de Vida Media (HLR) sin bloquear el hilo de ejecución principal de la API.</w:t>
      </w:r>
    </w:p>
    <w:p w14:paraId="100638B9" w14:textId="77777777" w:rsidR="00196935" w:rsidRPr="00196935" w:rsidRDefault="00196935" w:rsidP="00947B96">
      <w:pPr>
        <w:jc w:val="both"/>
        <w:rPr>
          <w:b/>
          <w:bCs/>
        </w:rPr>
      </w:pPr>
      <w:r w:rsidRPr="00196935">
        <w:rPr>
          <w:b/>
          <w:bCs/>
        </w:rPr>
        <w:t>4.2 Diseño de datos y esquema relacional</w:t>
      </w:r>
    </w:p>
    <w:p w14:paraId="59BAC1D6" w14:textId="77777777" w:rsidR="00196935" w:rsidRPr="00196935" w:rsidRDefault="00196935" w:rsidP="00947B96">
      <w:pPr>
        <w:jc w:val="both"/>
      </w:pPr>
      <w:r w:rsidRPr="00196935">
        <w:t>La persistencia del sistema recae en una base de datos relacional PostgreSQL, modelada para soportar consultas concurrentes y analítica de datos. El esquema crítico para la evaluación del modelo se compone de tres entidades:</w:t>
      </w:r>
    </w:p>
    <w:p w14:paraId="6CAB0428" w14:textId="77777777" w:rsidR="00196935" w:rsidRPr="00196935" w:rsidRDefault="00196935" w:rsidP="00947B96">
      <w:pPr>
        <w:numPr>
          <w:ilvl w:val="0"/>
          <w:numId w:val="8"/>
        </w:numPr>
        <w:jc w:val="both"/>
      </w:pPr>
      <w:r w:rsidRPr="00196935">
        <w:t>Item_Lexico: Almacena el vocabulario, su categoría gramatical (verbo, sustantivo, etc.), longitud de caracteres y vectores morfológicos asociados.</w:t>
      </w:r>
    </w:p>
    <w:p w14:paraId="77CB756E" w14:textId="401FA10F" w:rsidR="00196935" w:rsidRPr="00196935" w:rsidRDefault="00196935" w:rsidP="00947B96">
      <w:pPr>
        <w:numPr>
          <w:ilvl w:val="0"/>
          <w:numId w:val="8"/>
        </w:numPr>
        <w:jc w:val="both"/>
      </w:pPr>
      <w:r w:rsidRPr="00196935">
        <w:t xml:space="preserve">Estado_Memoria: Registra el vector de pesos actual para cada par (Usuario_ID, Item_ID), almacenando la vida media estimada </w:t>
      </w:r>
      <m:oMath>
        <m:acc>
          <m:accPr>
            <m:chr m:val="ˆ"/>
            <m:ctrlPr>
              <w:rPr>
                <w:rFonts w:ascii="Cambria Math" w:hAnsi="Cambria Math"/>
              </w:rPr>
            </m:ctrlPr>
          </m:accPr>
          <m:e>
            <m:r>
              <w:rPr>
                <w:rFonts w:ascii="Cambria Math" w:hAnsi="Cambria Math"/>
              </w:rPr>
              <m:t>h</m:t>
            </m:r>
          </m:e>
        </m:acc>
      </m:oMath>
      <w:r w:rsidRPr="00196935">
        <w:t xml:space="preserve"> y el tiempo sugerido para el próximo repaso </w:t>
      </w:r>
      <m:oMath>
        <m:sSub>
          <m:sSubPr>
            <m:ctrlPr>
              <w:rPr>
                <w:rFonts w:ascii="Cambria Math" w:hAnsi="Cambria Math"/>
              </w:rPr>
            </m:ctrlPr>
          </m:sSubPr>
          <m:e>
            <m:r>
              <w:rPr>
                <w:rFonts w:ascii="Cambria Math" w:hAnsi="Cambria Math"/>
              </w:rPr>
              <m:t>t</m:t>
            </m:r>
          </m:e>
          <m:sub>
            <m:r>
              <w:rPr>
                <w:rFonts w:ascii="Cambria Math" w:hAnsi="Cambria Math"/>
              </w:rPr>
              <m:t>repaso</m:t>
            </m:r>
          </m:sub>
        </m:sSub>
      </m:oMath>
      <w:r w:rsidRPr="00196935">
        <w:t>.</w:t>
      </w:r>
    </w:p>
    <w:p w14:paraId="5364E363" w14:textId="63D75A4D" w:rsidR="00196935" w:rsidRPr="00196935" w:rsidRDefault="00196935" w:rsidP="00947B96">
      <w:pPr>
        <w:numPr>
          <w:ilvl w:val="0"/>
          <w:numId w:val="8"/>
        </w:numPr>
        <w:jc w:val="both"/>
      </w:pPr>
      <w:r w:rsidRPr="00196935">
        <w:t>Traza_Interaccion: Tabla inmutable de eventos (</w:t>
      </w:r>
      <w:r w:rsidRPr="00196935">
        <w:rPr>
          <w:i/>
          <w:iCs/>
        </w:rPr>
        <w:t>append-only log</w:t>
      </w:r>
      <w:r w:rsidRPr="00196935">
        <w:t xml:space="preserve">) que registra cada evaluación del usuario. Sus atributos conforman el conjunto de datos de entrenamiento del modelo: </w:t>
      </w:r>
      <m:oMath>
        <m:r>
          <w:rPr>
            <w:rFonts w:ascii="Cambria Math" w:hAnsi="Cambria Math"/>
          </w:rPr>
          <m:t>timestamp</m:t>
        </m:r>
      </m:oMath>
      <w:r w:rsidRPr="00196935">
        <w:t xml:space="preserve">, </w:t>
      </w:r>
      <m:oMath>
        <m:r>
          <w:rPr>
            <w:rFonts w:ascii="Cambria Math" w:hAnsi="Cambria Math"/>
          </w:rPr>
          <m:t>latencia_respuesta</m:t>
        </m:r>
      </m:oMath>
      <w:r w:rsidRPr="00196935">
        <w:t xml:space="preserve">, </w:t>
      </w:r>
      <m:oMath>
        <m:r>
          <w:rPr>
            <w:rFonts w:ascii="Cambria Math" w:hAnsi="Cambria Math"/>
          </w:rPr>
          <m:t>resultado_binario</m:t>
        </m:r>
      </m:oMath>
      <w:r w:rsidRPr="00196935">
        <w:t xml:space="preserve"> (</w:t>
      </w:r>
      <m:oMath>
        <m:r>
          <w:rPr>
            <w:rFonts w:ascii="Cambria Math" w:hAnsi="Cambria Math"/>
          </w:rPr>
          <m:t>0</m:t>
        </m:r>
      </m:oMath>
      <w:r w:rsidRPr="00196935">
        <w:t xml:space="preserve"> o </w:t>
      </w:r>
      <m:oMath>
        <m:r>
          <w:rPr>
            <w:rFonts w:ascii="Cambria Math" w:hAnsi="Cambria Math"/>
          </w:rPr>
          <m:t>1</m:t>
        </m:r>
      </m:oMath>
      <w:r w:rsidRPr="00196935">
        <w:t xml:space="preserve">) e </w:t>
      </w:r>
      <m:oMath>
        <m:r>
          <w:rPr>
            <w:rFonts w:ascii="Cambria Math" w:hAnsi="Cambria Math"/>
          </w:rPr>
          <m:t>intervalo_transcurrido</m:t>
        </m:r>
      </m:oMath>
      <w:r w:rsidRPr="00196935">
        <w:t xml:space="preserve"> desde la última interacción.</w:t>
      </w:r>
    </w:p>
    <w:p w14:paraId="6074327E" w14:textId="77777777" w:rsidR="00196935" w:rsidRPr="00196935" w:rsidRDefault="00196935" w:rsidP="00947B96">
      <w:pPr>
        <w:jc w:val="both"/>
        <w:rPr>
          <w:b/>
          <w:bCs/>
        </w:rPr>
      </w:pPr>
      <w:r w:rsidRPr="00196935">
        <w:rPr>
          <w:b/>
          <w:bCs/>
        </w:rPr>
        <w:t>4.3 Diseño de la interfaz e identidad visual</w:t>
      </w:r>
    </w:p>
    <w:p w14:paraId="64C1EA55" w14:textId="77777777" w:rsidR="00196935" w:rsidRPr="00196935" w:rsidRDefault="00196935" w:rsidP="00947B96">
      <w:pPr>
        <w:jc w:val="both"/>
      </w:pPr>
      <w:r w:rsidRPr="00196935">
        <w:t>El subsistema gráfico, prototipado íntegramente mediante Auto Layout y propiedades de componentes dinámicas en Figma, prioriza la minimización de la carga cognitiva. El uso de la paleta cromática identitaria gallega (celeste y blanco) y la mascota interactiva ("Gabi") actúa como anclaje emocional. Las transiciones de estado —como las barras de progreso regidas por variables lógicas— están diseñadas para proveer retroalimentación en menos de 200 milisegundos, umbral límite documentado para mantener la inmersión en plataformas gamificadas.</w:t>
      </w:r>
    </w:p>
    <w:p w14:paraId="7E47A18E" w14:textId="77777777" w:rsidR="00196935" w:rsidRPr="00196935" w:rsidRDefault="00196935" w:rsidP="00947B96">
      <w:pPr>
        <w:jc w:val="both"/>
        <w:rPr>
          <w:b/>
          <w:bCs/>
        </w:rPr>
      </w:pPr>
      <w:r w:rsidRPr="00196935">
        <w:rPr>
          <w:b/>
          <w:bCs/>
        </w:rPr>
        <w:t>4.4 Stack tecnológico y justificación de decisiones</w:t>
      </w:r>
    </w:p>
    <w:p w14:paraId="1D0DCD42" w14:textId="77777777" w:rsidR="00196935" w:rsidRPr="00196935" w:rsidRDefault="00196935" w:rsidP="00947B96">
      <w:pPr>
        <w:jc w:val="both"/>
      </w:pPr>
      <w:r w:rsidRPr="00196935">
        <w:t xml:space="preserve">La elección de Python en el </w:t>
      </w:r>
      <w:r w:rsidRPr="00196935">
        <w:rPr>
          <w:i/>
          <w:iCs/>
        </w:rPr>
        <w:t>backend</w:t>
      </w:r>
      <w:r w:rsidRPr="00196935">
        <w:t xml:space="preserve"> se justifica por su interoperabilidad nativa con el ecosistema de </w:t>
      </w:r>
      <w:r w:rsidRPr="00196935">
        <w:rPr>
          <w:i/>
          <w:iCs/>
        </w:rPr>
        <w:t>Machine Learning</w:t>
      </w:r>
      <w:r w:rsidRPr="00196935">
        <w:t xml:space="preserve"> (específicamente la librería scikit-learn utilizada para la regularización de la regresión). Para garantizar el desacoplamiento y la resiliencia, la infraestructura se encapsula utilizando contenedores Docker. Un proxy inverso Nginx gestiona el balanceo de carga y la </w:t>
      </w:r>
      <w:r w:rsidRPr="00196935">
        <w:lastRenderedPageBreak/>
        <w:t>terminación SSL, exponiendo los servicios a través de una red aislada (</w:t>
      </w:r>
      <w:r w:rsidRPr="00196935">
        <w:rPr>
          <w:i/>
          <w:iCs/>
        </w:rPr>
        <w:t>Docker network</w:t>
      </w:r>
      <w:r w:rsidRPr="00196935">
        <w:t>) que previene el acceso directo a los microservicios de base de datos y encolamiento.</w:t>
      </w:r>
    </w:p>
    <w:p w14:paraId="35881C71" w14:textId="77777777" w:rsidR="00196935" w:rsidRPr="00196935" w:rsidRDefault="00196935" w:rsidP="00947B96">
      <w:pPr>
        <w:jc w:val="both"/>
        <w:rPr>
          <w:b/>
          <w:bCs/>
        </w:rPr>
      </w:pPr>
      <w:r w:rsidRPr="00196935">
        <w:rPr>
          <w:b/>
          <w:bCs/>
        </w:rPr>
        <w:t>5. Metodología</w:t>
      </w:r>
    </w:p>
    <w:p w14:paraId="41B7EF1F" w14:textId="77777777" w:rsidR="00196935" w:rsidRPr="00196935" w:rsidRDefault="00196935" w:rsidP="00947B96">
      <w:pPr>
        <w:jc w:val="both"/>
      </w:pPr>
      <w:r w:rsidRPr="00196935">
        <w:t>Este capítulo expone el diseño experimental y las formulaciones matemáticas que rigen el motor de predicción algorítmica, constituyendo el núcleo de investigación del trabajo.</w:t>
      </w:r>
    </w:p>
    <w:p w14:paraId="485D4A75" w14:textId="77777777" w:rsidR="00196935" w:rsidRPr="00196935" w:rsidRDefault="00196935" w:rsidP="00947B96">
      <w:pPr>
        <w:jc w:val="both"/>
        <w:rPr>
          <w:b/>
          <w:bCs/>
        </w:rPr>
      </w:pPr>
      <w:r w:rsidRPr="00196935">
        <w:rPr>
          <w:b/>
          <w:bCs/>
        </w:rPr>
        <w:t>5.1 Recolección y preparación de datos</w:t>
      </w:r>
    </w:p>
    <w:p w14:paraId="3DFE4E4F" w14:textId="77777777" w:rsidR="00196935" w:rsidRPr="00196935" w:rsidRDefault="00196935" w:rsidP="00947B96">
      <w:pPr>
        <w:jc w:val="both"/>
      </w:pPr>
      <w:r w:rsidRPr="00196935">
        <w:t>El entrenamiento del modelo predictivo exige un conjunto de datos longitudinal. Se procederá a extraer una cohorte inicial (</w:t>
      </w:r>
      <w:r w:rsidRPr="00196935">
        <w:rPr>
          <w:i/>
          <w:iCs/>
        </w:rPr>
        <w:t>dataset beta</w:t>
      </w:r>
      <w:r w:rsidRPr="00196935">
        <w:t>) proveniente de las interacciones generadas por usuarios de prueba durante un periodo controlado de 4 semanas.</w:t>
      </w:r>
    </w:p>
    <w:p w14:paraId="600F0470" w14:textId="77777777" w:rsidR="00196935" w:rsidRPr="00196935" w:rsidRDefault="00196935" w:rsidP="00947B96">
      <w:pPr>
        <w:jc w:val="both"/>
      </w:pPr>
      <w:r w:rsidRPr="00196935">
        <w:t xml:space="preserve">Para asegurar la viabilidad del entrenamiento, los datos crudos se someterán a un preprocesamiento que incluye la normalización de la latencia (aplicando transformación logarítmica para atenuar valores atípicos originados por pausas del usuario) y la binarización de las variables categóricas morfológicas (mediante </w:t>
      </w:r>
      <w:r w:rsidRPr="00196935">
        <w:rPr>
          <w:i/>
          <w:iCs/>
        </w:rPr>
        <w:t>One-Hot Encoding</w:t>
      </w:r>
      <w:r w:rsidRPr="00196935">
        <w:t>).</w:t>
      </w:r>
    </w:p>
    <w:p w14:paraId="3B2A316D" w14:textId="77777777" w:rsidR="00196935" w:rsidRPr="00196935" w:rsidRDefault="00196935" w:rsidP="00947B96">
      <w:pPr>
        <w:jc w:val="both"/>
        <w:rPr>
          <w:b/>
          <w:bCs/>
        </w:rPr>
      </w:pPr>
      <w:r w:rsidRPr="00196935">
        <w:rPr>
          <w:b/>
          <w:bCs/>
        </w:rPr>
        <w:t>5.2 Definición de la línea base (SM-2 clásico)</w:t>
      </w:r>
    </w:p>
    <w:p w14:paraId="5CB6FC49" w14:textId="0C49262A" w:rsidR="00196935" w:rsidRPr="00196935" w:rsidRDefault="00196935" w:rsidP="00947B96">
      <w:pPr>
        <w:jc w:val="both"/>
      </w:pPr>
      <w:r w:rsidRPr="00196935">
        <w:t xml:space="preserve">Para cuantificar la ganancia de rendimiento del modelo propuesto, se implementará como línea base la heurística SM-2. En esta, la estimación del recuerdo no es probabilística, sino que el intervalo en días </w:t>
      </w:r>
      <m:oMath>
        <m:sSub>
          <m:sSubPr>
            <m:ctrlPr>
              <w:rPr>
                <w:rFonts w:ascii="Cambria Math" w:hAnsi="Cambria Math"/>
              </w:rPr>
            </m:ctrlPr>
          </m:sSubPr>
          <m:e>
            <m:r>
              <w:rPr>
                <w:rFonts w:ascii="Cambria Math" w:hAnsi="Cambria Math"/>
              </w:rPr>
              <m:t>I</m:t>
            </m:r>
          </m:e>
          <m:sub>
            <m:r>
              <w:rPr>
                <w:rFonts w:ascii="Cambria Math" w:hAnsi="Cambria Math"/>
              </w:rPr>
              <m:t>n</m:t>
            </m:r>
          </m:sub>
        </m:sSub>
      </m:oMath>
      <w:r w:rsidRPr="00196935">
        <w:t xml:space="preserve"> para la iteración </w:t>
      </w:r>
      <m:oMath>
        <m:r>
          <w:rPr>
            <w:rFonts w:ascii="Cambria Math" w:hAnsi="Cambria Math"/>
          </w:rPr>
          <m:t>n</m:t>
        </m:r>
      </m:oMath>
      <w:r w:rsidRPr="00196935">
        <w:t xml:space="preserve"> se calcula de manera determinista:</w:t>
      </w:r>
    </w:p>
    <w:p w14:paraId="72F9669D" w14:textId="2418D546" w:rsidR="00196935" w:rsidRPr="00196935" w:rsidRDefault="00196935" w:rsidP="00947B96">
      <w:pPr>
        <w:numPr>
          <w:ilvl w:val="0"/>
          <w:numId w:val="9"/>
        </w:numPr>
        <w:jc w:val="both"/>
      </w:pP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oMath>
    </w:p>
    <w:p w14:paraId="64E29D07" w14:textId="35FBC030" w:rsidR="00196935" w:rsidRPr="00196935" w:rsidRDefault="00196935" w:rsidP="00947B96">
      <w:pPr>
        <w:numPr>
          <w:ilvl w:val="0"/>
          <w:numId w:val="9"/>
        </w:numPr>
        <w:jc w:val="both"/>
      </w:pP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=6</m:t>
        </m:r>
      </m:oMath>
    </w:p>
    <w:p w14:paraId="64AF0975" w14:textId="649E2D32" w:rsidR="00196935" w:rsidRPr="00196935" w:rsidRDefault="00196935" w:rsidP="00947B96">
      <w:pPr>
        <w:numPr>
          <w:ilvl w:val="0"/>
          <w:numId w:val="9"/>
        </w:numPr>
        <w:jc w:val="both"/>
      </w:pP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n-1</m:t>
                </m:r>
              </m:sub>
            </m:sSub>
            <m:r>
              <w:rPr>
                <w:rFonts w:ascii="Cambria Math" w:hAnsi="Cambria Math"/>
              </w:rPr>
              <m:t>×EF</m:t>
            </m:r>
          </m:e>
        </m:d>
      </m:oMath>
      <w:r w:rsidRPr="00196935">
        <w:t xml:space="preserve"> para </w:t>
      </w:r>
      <m:oMath>
        <m:r>
          <w:rPr>
            <w:rFonts w:ascii="Cambria Math" w:hAnsi="Cambria Math"/>
          </w:rPr>
          <m:t>n&gt;2</m:t>
        </m:r>
      </m:oMath>
    </w:p>
    <w:p w14:paraId="2A0AA745" w14:textId="55914F7E" w:rsidR="00196935" w:rsidRPr="00196935" w:rsidRDefault="00196935" w:rsidP="00947B96">
      <w:pPr>
        <w:jc w:val="both"/>
      </w:pPr>
      <w:r w:rsidRPr="00196935">
        <w:t xml:space="preserve">Donde el factor de facilidad </w:t>
      </w:r>
      <m:oMath>
        <m:r>
          <w:rPr>
            <w:rFonts w:ascii="Cambria Math" w:hAnsi="Cambria Math"/>
          </w:rPr>
          <m:t>EF</m:t>
        </m:r>
      </m:oMath>
      <w:r w:rsidRPr="00196935">
        <w:t xml:space="preserve"> (iniciado en 2.5) muta rígidamente según la calidad empírica de la respuesta del usuario. Este </w:t>
      </w:r>
      <w:r w:rsidRPr="00196935">
        <w:rPr>
          <w:i/>
          <w:iCs/>
        </w:rPr>
        <w:t>baseline</w:t>
      </w:r>
      <w:r w:rsidRPr="00196935">
        <w:t xml:space="preserve"> carece de sensibilidad al tiempo exacto de latencia y a la dificultad intrínseca de los vocablos del gallego.</w:t>
      </w:r>
    </w:p>
    <w:p w14:paraId="75BFCCC4" w14:textId="77777777" w:rsidR="00196935" w:rsidRPr="00196935" w:rsidRDefault="00196935" w:rsidP="00947B96">
      <w:pPr>
        <w:jc w:val="both"/>
        <w:rPr>
          <w:b/>
          <w:bCs/>
        </w:rPr>
      </w:pPr>
      <w:r w:rsidRPr="00196935">
        <w:rPr>
          <w:b/>
          <w:bCs/>
        </w:rPr>
        <w:t>5.3 Diseño del modelo propuesto (Regresión de Vida Media - HLR)</w:t>
      </w:r>
    </w:p>
    <w:p w14:paraId="5A1F7F13" w14:textId="79A7A541" w:rsidR="00196935" w:rsidRPr="00196935" w:rsidRDefault="00196935" w:rsidP="00947B96">
      <w:pPr>
        <w:jc w:val="both"/>
      </w:pPr>
      <w:r w:rsidRPr="00196935">
        <w:t xml:space="preserve">El modelo propuesto sustituye el intervalo heurístico por una función de optimización de pesos. El vector de características de entrada se define como </w:t>
      </w:r>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aciertos</m:t>
                    </m:r>
                  </m:e>
                </m:rad>
                <m:r>
                  <w:rPr>
                    <w:rFonts w:ascii="Cambria Math" w:hAnsi="Cambria Math"/>
                  </w:rPr>
                  <m:t>,</m:t>
                </m:r>
                <m:rad>
                  <m:radPr>
                    <m:degHide m:val="1"/>
                    <m:ctrlPr>
                      <w:rPr>
                        <w:rFonts w:ascii="Cambria Math" w:hAnsi="Cambria Math"/>
                      </w:rPr>
                    </m:ctrlPr>
                  </m:radPr>
                  <m:deg/>
                  <m:e>
                    <m:r>
                      <w:rPr>
                        <w:rFonts w:ascii="Cambria Math" w:hAnsi="Cambria Math"/>
                      </w:rPr>
                      <m:t>fallos</m:t>
                    </m:r>
                  </m:e>
                </m:rad>
                <m:r>
                  <w:rPr>
                    <w:rFonts w:ascii="Cambria Math" w:hAnsi="Cambria Math"/>
                  </w:rPr>
                  <m:t>,L,b</m:t>
                </m:r>
              </m:e>
            </m:d>
          </m:e>
          <m:sup>
            <m:r>
              <w:rPr>
                <w:rFonts w:ascii="Cambria Math" w:hAnsi="Cambria Math"/>
              </w:rPr>
              <m:t>T</m:t>
            </m:r>
          </m:sup>
        </m:sSup>
      </m:oMath>
      <w:r w:rsidRPr="00196935">
        <w:t xml:space="preserve">, donde </w:t>
      </w:r>
      <m:oMath>
        <m:r>
          <w:rPr>
            <w:rFonts w:ascii="Cambria Math" w:hAnsi="Cambria Math"/>
          </w:rPr>
          <m:t>L</m:t>
        </m:r>
      </m:oMath>
      <w:r w:rsidRPr="00196935">
        <w:t xml:space="preserve"> representa el subvector de características lexicométricas y </w:t>
      </w:r>
      <m:oMath>
        <m:r>
          <w:rPr>
            <w:rFonts w:ascii="Cambria Math" w:hAnsi="Cambria Math"/>
          </w:rPr>
          <m:t>b</m:t>
        </m:r>
      </m:oMath>
      <w:r w:rsidRPr="00196935">
        <w:t xml:space="preserve"> el sesgo (</w:t>
      </w:r>
      <w:r w:rsidRPr="00196935">
        <w:rPr>
          <w:i/>
          <w:iCs/>
        </w:rPr>
        <w:t>bias</w:t>
      </w:r>
      <w:r w:rsidRPr="00196935">
        <w:t>).</w:t>
      </w:r>
    </w:p>
    <w:p w14:paraId="055AF01F" w14:textId="38024D42" w:rsidR="00196935" w:rsidRPr="00196935" w:rsidRDefault="00196935" w:rsidP="00947B96">
      <w:pPr>
        <w:jc w:val="both"/>
      </w:pPr>
      <w:r w:rsidRPr="00196935">
        <w:t xml:space="preserve">La predicción de la vida media </w:t>
      </w:r>
      <m:oMath>
        <m:acc>
          <m:accPr>
            <m:chr m:val="ˆ"/>
            <m:ctrlPr>
              <w:rPr>
                <w:rFonts w:ascii="Cambria Math" w:hAnsi="Cambria Math"/>
              </w:rPr>
            </m:ctrlPr>
          </m:accPr>
          <m:e>
            <m:r>
              <w:rPr>
                <w:rFonts w:ascii="Cambria Math" w:hAnsi="Cambria Math"/>
              </w:rPr>
              <m:t>h</m:t>
            </m:r>
          </m:e>
        </m:acc>
      </m:oMath>
      <w:r w:rsidRPr="00196935">
        <w:t xml:space="preserve"> se formula como:</w:t>
      </w:r>
    </w:p>
    <w:p w14:paraId="0CBA7E2D" w14:textId="7C62892E" w:rsidR="00196935" w:rsidRPr="00196935" w:rsidRDefault="00196935" w:rsidP="00947B96">
      <w:pPr>
        <w:jc w:val="both"/>
      </w:pPr>
      <m:oMathPara>
        <m:oMath>
          <m:acc>
            <m:accPr>
              <m:chr m:val="ˆ"/>
              <m:ctrlPr>
                <w:rPr>
                  <w:rFonts w:ascii="Cambria Math" w:hAnsi="Cambria Math"/>
                </w:rPr>
              </m:ctrlPr>
            </m:accPr>
            <m:e>
              <m:r>
                <w:rPr>
                  <w:rFonts w:ascii="Cambria Math" w:hAnsi="Cambria Math"/>
                </w:rPr>
                <m:t>h</m:t>
              </m:r>
            </m:e>
          </m:acc>
          <m: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m:rPr>
                      <m:sty m:val="p"/>
                    </m:rPr>
                    <w:rPr>
                      <w:rFonts w:ascii="Cambria Math" w:hAnsi="Cambria Math"/>
                    </w:rPr>
                    <m:t>Θ</m:t>
                  </m:r>
                </m:e>
                <m:sup>
                  <m:r>
                    <w:rPr>
                      <w:rFonts w:ascii="Cambria Math" w:hAnsi="Cambria Math"/>
                    </w:rPr>
                    <m:t>T</m:t>
                  </m:r>
                </m:sup>
              </m:sSup>
              <m:r>
                <w:rPr>
                  <w:rFonts w:ascii="Cambria Math" w:hAnsi="Cambria Math"/>
                </w:rPr>
                <m:t>x</m:t>
              </m:r>
            </m:sup>
          </m:sSup>
        </m:oMath>
      </m:oMathPara>
    </w:p>
    <w:p w14:paraId="082EA1F1" w14:textId="77777777" w:rsidR="00947B96" w:rsidRDefault="00947B96" w:rsidP="00947B96">
      <w:pPr>
        <w:jc w:val="both"/>
      </w:pPr>
    </w:p>
    <w:p w14:paraId="69873E91" w14:textId="5D14F602" w:rsidR="00196935" w:rsidRPr="00196935" w:rsidRDefault="00196935" w:rsidP="00947B96">
      <w:pPr>
        <w:jc w:val="both"/>
      </w:pPr>
      <w:r w:rsidRPr="00196935">
        <w:lastRenderedPageBreak/>
        <w:t xml:space="preserve">La estimación de probabilidad de acierto </w:t>
      </w:r>
      <m:oMath>
        <m:acc>
          <m:accPr>
            <m:chr m:val="ˆ"/>
            <m:ctrlPr>
              <w:rPr>
                <w:rFonts w:ascii="Cambria Math" w:hAnsi="Cambria Math"/>
              </w:rPr>
            </m:ctrlPr>
          </m:accPr>
          <m:e>
            <m:r>
              <w:rPr>
                <w:rFonts w:ascii="Cambria Math" w:hAnsi="Cambria Math"/>
              </w:rPr>
              <m:t>p</m:t>
            </m:r>
          </m:e>
        </m:acc>
      </m:oMath>
      <w:r w:rsidRPr="00196935">
        <w:t xml:space="preserve"> para un intervalo de tiempo </w:t>
      </w:r>
      <m:oMath>
        <m:r>
          <w:rPr>
            <w:rFonts w:ascii="Cambria Math" w:hAnsi="Cambria Math"/>
          </w:rPr>
          <m:t>t</m:t>
        </m:r>
      </m:oMath>
      <w:r w:rsidRPr="00196935">
        <w:t xml:space="preserve"> es:</w:t>
      </w:r>
    </w:p>
    <w:p w14:paraId="04781FB0" w14:textId="16AE66D3" w:rsidR="00196935" w:rsidRPr="00196935" w:rsidRDefault="00196935" w:rsidP="00947B96">
      <w:pPr>
        <w:jc w:val="both"/>
      </w:pPr>
      <m:oMathPara>
        <m:oMath>
          <m:acc>
            <m:accPr>
              <m:chr m:val="ˆ"/>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t</m:t>
                  </m:r>
                </m:num>
                <m:den>
                  <m:acc>
                    <m:accPr>
                      <m:chr m:val="ˆ"/>
                      <m:ctrlPr>
                        <w:rPr>
                          <w:rFonts w:ascii="Cambria Math" w:hAnsi="Cambria Math"/>
                        </w:rPr>
                      </m:ctrlPr>
                    </m:accPr>
                    <m:e>
                      <m:r>
                        <w:rPr>
                          <w:rFonts w:ascii="Cambria Math" w:hAnsi="Cambria Math"/>
                        </w:rPr>
                        <m:t>h</m:t>
                      </m:r>
                    </m:e>
                  </m:acc>
                </m:den>
              </m:f>
            </m:sup>
          </m:sSup>
        </m:oMath>
      </m:oMathPara>
    </w:p>
    <w:p w14:paraId="0F6462B4" w14:textId="1AAC3CA9" w:rsidR="00196935" w:rsidRPr="00196935" w:rsidRDefault="00196935" w:rsidP="00947B96">
      <w:pPr>
        <w:jc w:val="both"/>
      </w:pPr>
      <w:r w:rsidRPr="00196935">
        <w:t xml:space="preserve">Para entrenar el modelo (optimizar el vector de pesos </w:t>
      </w:r>
      <m:oMath>
        <m:r>
          <m:rPr>
            <m:sty m:val="p"/>
          </m:rPr>
          <w:rPr>
            <w:rFonts w:ascii="Cambria Math" w:hAnsi="Cambria Math"/>
          </w:rPr>
          <m:t>Θ</m:t>
        </m:r>
      </m:oMath>
      <w:r w:rsidRPr="00196935">
        <w:t xml:space="preserve">), se define la función de pérdida </w:t>
      </w:r>
      <m:oMath>
        <m:r>
          <w:rPr>
            <w:rFonts w:ascii="Cambria Math" w:hAnsi="Cambria Math"/>
          </w:rPr>
          <m:t>L</m:t>
        </m:r>
        <m:d>
          <m:dPr>
            <m:ctrlPr>
              <w:rPr>
                <w:rFonts w:ascii="Cambria Math" w:hAnsi="Cambria Math"/>
              </w:rPr>
            </m:ctrlPr>
          </m:dPr>
          <m:e>
            <m:r>
              <m:rPr>
                <m:sty m:val="p"/>
              </m:rPr>
              <w:rPr>
                <w:rFonts w:ascii="Cambria Math" w:hAnsi="Cambria Math"/>
              </w:rPr>
              <m:t>Θ</m:t>
            </m:r>
          </m:e>
        </m:d>
      </m:oMath>
      <w:r w:rsidRPr="00196935">
        <w:t xml:space="preserve"> minimizando el error logarítmico cuadrático entre la vida media inferida del intento empírico y la predicción, sumando un término de regularización L2 (</w:t>
      </w:r>
      <m:oMath>
        <m:r>
          <w:rPr>
            <w:rFonts w:ascii="Cambria Math" w:hAnsi="Cambria Math"/>
          </w:rPr>
          <m:t>λ</m:t>
        </m:r>
      </m:oMath>
      <w:r w:rsidRPr="00196935">
        <w:t>) para evitar el sobreajuste (</w:t>
      </w:r>
      <w:r w:rsidRPr="00196935">
        <w:rPr>
          <w:i/>
          <w:iCs/>
        </w:rPr>
        <w:t>Ridge Regression</w:t>
      </w:r>
      <w:r w:rsidRPr="00196935">
        <w:t>):</w:t>
      </w:r>
    </w:p>
    <w:p w14:paraId="192B5CF9" w14:textId="22279891" w:rsidR="00196935" w:rsidRPr="00196935" w:rsidRDefault="00196935" w:rsidP="00947B96">
      <w:pPr>
        <w:jc w:val="both"/>
      </w:pPr>
      <m:oMathPara>
        <m:oMath>
          <m:r>
            <w:rPr>
              <w:rFonts w:ascii="Cambria Math" w:hAnsi="Cambria Math"/>
            </w:rPr>
            <m:t>L</m:t>
          </m:r>
          <m:d>
            <m:dPr>
              <m:ctrlPr>
                <w:rPr>
                  <w:rFonts w:ascii="Cambria Math" w:hAnsi="Cambria Math"/>
                </w:rPr>
              </m:ctrlPr>
            </m:dPr>
            <m:e>
              <m:r>
                <m:rPr>
                  <m:sty m:val="p"/>
                </m:rPr>
                <w:rPr>
                  <w:rFonts w:ascii="Cambria Math" w:hAnsi="Cambria Math"/>
                </w:rPr>
                <m:t>Θ</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e>
                      </m:func>
                      <m: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+λ‖</m:t>
          </m:r>
          <m:r>
            <m:rPr>
              <m:sty m:val="p"/>
            </m:rPr>
            <w:rPr>
              <w:rFonts w:ascii="Cambria Math" w:hAnsi="Cambria Math"/>
            </w:rPr>
            <m:t>Θ</m:t>
          </m:r>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2F9A7E2C" w14:textId="77777777" w:rsidR="00196935" w:rsidRPr="00196935" w:rsidRDefault="00196935" w:rsidP="00947B96">
      <w:pPr>
        <w:jc w:val="both"/>
        <w:rPr>
          <w:b/>
          <w:bCs/>
        </w:rPr>
      </w:pPr>
      <w:r w:rsidRPr="00196935">
        <w:rPr>
          <w:b/>
          <w:bCs/>
        </w:rPr>
        <w:t>5.4 Métricas de evaluación</w:t>
      </w:r>
    </w:p>
    <w:p w14:paraId="54E71CEC" w14:textId="77777777" w:rsidR="00196935" w:rsidRPr="00196935" w:rsidRDefault="00196935" w:rsidP="00947B96">
      <w:pPr>
        <w:jc w:val="both"/>
      </w:pPr>
      <w:r w:rsidRPr="00196935">
        <w:t>El rendimiento predictivo se auditará bajo dos ópticas matemáticas:</w:t>
      </w:r>
    </w:p>
    <w:p w14:paraId="414D79C1" w14:textId="77777777" w:rsidR="00196935" w:rsidRPr="00196935" w:rsidRDefault="00196935" w:rsidP="00947B96">
      <w:pPr>
        <w:numPr>
          <w:ilvl w:val="0"/>
          <w:numId w:val="10"/>
        </w:numPr>
        <w:jc w:val="both"/>
      </w:pPr>
      <w:r w:rsidRPr="00196935">
        <w:rPr>
          <w:b/>
          <w:bCs/>
        </w:rPr>
        <w:t>Error Absoluto Medio (MAE):</w:t>
      </w:r>
      <w:r w:rsidRPr="00196935">
        <w:t xml:space="preserve"> Cuantificará la magnitud absoluta del error temporal entre la predicción de la vida media del modelo y el umbral de olvido real del estudiante.</w:t>
      </w:r>
    </w:p>
    <w:p w14:paraId="5444A9CB" w14:textId="07A9F2AC" w:rsidR="00196935" w:rsidRPr="00196935" w:rsidRDefault="00196935" w:rsidP="00947B96">
      <w:pPr>
        <w:numPr>
          <w:ilvl w:val="0"/>
          <w:numId w:val="10"/>
        </w:numPr>
        <w:jc w:val="both"/>
      </w:pPr>
      <w:r w:rsidRPr="00196935">
        <w:rPr>
          <w:b/>
          <w:bCs/>
        </w:rPr>
        <w:t>Área bajo la Curva ROC (AUC-ROC):</w:t>
      </w:r>
      <w:r w:rsidRPr="00196935">
        <w:t xml:space="preserve"> Evaluará la capacidad discriminativa del modelo para clasificar binariamente si el usuario acertará (1) o fallará (0) un ítem en un tiempo </w:t>
      </w:r>
      <m:oMath>
        <m:r>
          <w:rPr>
            <w:rFonts w:ascii="Cambria Math" w:hAnsi="Cambria Math"/>
          </w:rPr>
          <m:t>t</m:t>
        </m:r>
      </m:oMath>
      <w:r w:rsidRPr="00196935">
        <w:t xml:space="preserve"> específico, penalizando predicciones de alta confianza que resulten falsas.</w:t>
      </w:r>
    </w:p>
    <w:p w14:paraId="6932B1ED" w14:textId="77777777" w:rsidR="00196935" w:rsidRPr="00196935" w:rsidRDefault="00196935" w:rsidP="00947B96">
      <w:pPr>
        <w:jc w:val="both"/>
        <w:rPr>
          <w:b/>
          <w:bCs/>
        </w:rPr>
      </w:pPr>
      <w:r w:rsidRPr="00196935">
        <w:rPr>
          <w:b/>
          <w:bCs/>
        </w:rPr>
        <w:t>5.5 Diseño experimental</w:t>
      </w:r>
    </w:p>
    <w:p w14:paraId="58E0C17D" w14:textId="77777777" w:rsidR="00196935" w:rsidRPr="00196935" w:rsidRDefault="00196935" w:rsidP="00947B96">
      <w:pPr>
        <w:jc w:val="both"/>
      </w:pPr>
      <w:r w:rsidRPr="00196935">
        <w:t>Para prevenir el sesgo por filtración de datos (</w:t>
      </w:r>
      <w:r w:rsidRPr="00196935">
        <w:rPr>
          <w:i/>
          <w:iCs/>
        </w:rPr>
        <w:t>data leakage</w:t>
      </w:r>
      <w:r w:rsidRPr="00196935">
        <w:t xml:space="preserve">), se implementará una validación cruzada espacial (espacial orientada a usuarios, no a registros de tiempo). El </w:t>
      </w:r>
      <w:r w:rsidRPr="00196935">
        <w:rPr>
          <w:i/>
          <w:iCs/>
        </w:rPr>
        <w:t>dataset</w:t>
      </w:r>
      <w:r w:rsidRPr="00196935">
        <w:t xml:space="preserve"> se segmentará particionando el conjunto de Identificadores de Usuario (ej. </w:t>
      </w:r>
      <w:r w:rsidRPr="00196935">
        <w:rPr>
          <w:i/>
          <w:iCs/>
        </w:rPr>
        <w:t>split</w:t>
      </w:r>
      <w:r w:rsidRPr="00196935">
        <w:t xml:space="preserve"> 80/20). De este modo, el modelo se evalúa inexorablemente sobre usuarios completamente nuevos, validando su capacidad de generalización algorítmica para futuros estudiantes de la plataforma.</w:t>
      </w:r>
    </w:p>
    <w:p w14:paraId="416BC3EF" w14:textId="77777777" w:rsidR="00196935" w:rsidRPr="00196935" w:rsidRDefault="00196935" w:rsidP="00947B96">
      <w:pPr>
        <w:jc w:val="both"/>
        <w:rPr>
          <w:b/>
          <w:bCs/>
        </w:rPr>
      </w:pPr>
      <w:r w:rsidRPr="00196935">
        <w:rPr>
          <w:b/>
          <w:bCs/>
        </w:rPr>
        <w:t>6. Desarrollo e implementación</w:t>
      </w:r>
    </w:p>
    <w:p w14:paraId="5E487466" w14:textId="77777777" w:rsidR="00196935" w:rsidRPr="00196935" w:rsidRDefault="00196935" w:rsidP="00947B96">
      <w:pPr>
        <w:jc w:val="both"/>
        <w:rPr>
          <w:b/>
          <w:bCs/>
        </w:rPr>
      </w:pPr>
      <w:r w:rsidRPr="00196935">
        <w:rPr>
          <w:b/>
          <w:bCs/>
        </w:rPr>
        <w:t>6.1 Backend: API y lógica de negocio</w:t>
      </w:r>
    </w:p>
    <w:p w14:paraId="1CA65F53" w14:textId="77777777" w:rsidR="00196935" w:rsidRPr="00196935" w:rsidRDefault="00196935" w:rsidP="00947B96">
      <w:pPr>
        <w:jc w:val="both"/>
      </w:pPr>
      <w:r w:rsidRPr="00196935">
        <w:t xml:space="preserve">El servicio web ha sido instrumentado implementando controladores y serializadores estrictos. Se diseñaron </w:t>
      </w:r>
      <w:r w:rsidRPr="00196935">
        <w:rPr>
          <w:i/>
          <w:iCs/>
        </w:rPr>
        <w:t>endpoints</w:t>
      </w:r>
      <w:r w:rsidRPr="00196935">
        <w:t xml:space="preserve"> diferenciados para la ingesta de telemetría de lecciones (POST /api/v1/interaccion) y la consulta estática de gramática, garantizando la idempotencia en las operaciones de validación del árbol de progreso ("O Camiño").</w:t>
      </w:r>
    </w:p>
    <w:p w14:paraId="35A3A6B4" w14:textId="77777777" w:rsidR="00196935" w:rsidRPr="00196935" w:rsidRDefault="00196935" w:rsidP="00947B96">
      <w:pPr>
        <w:jc w:val="both"/>
        <w:rPr>
          <w:b/>
          <w:bCs/>
        </w:rPr>
      </w:pPr>
      <w:r w:rsidRPr="00196935">
        <w:rPr>
          <w:b/>
          <w:bCs/>
        </w:rPr>
        <w:t>6.2 Frontend: flujo de usuario y pantallas clave</w:t>
      </w:r>
    </w:p>
    <w:p w14:paraId="623F2007" w14:textId="77777777" w:rsidR="00196935" w:rsidRPr="00196935" w:rsidRDefault="00196935" w:rsidP="00947B96">
      <w:pPr>
        <w:jc w:val="both"/>
      </w:pPr>
      <w:r w:rsidRPr="00196935">
        <w:t xml:space="preserve">La interfaz móvil aplica el patrón arquitectónico de gestión de estados centralizada. Esto garantiza que si la red se degrada durante una lección, los eventos de validación se almacenan en la </w:t>
      </w:r>
      <w:r w:rsidRPr="00196935">
        <w:lastRenderedPageBreak/>
        <w:t xml:space="preserve">memoria local del dispositivo y se sincronizan asíncronamente (operación </w:t>
      </w:r>
      <w:r w:rsidRPr="00196935">
        <w:rPr>
          <w:i/>
          <w:iCs/>
        </w:rPr>
        <w:t>retry</w:t>
      </w:r>
      <w:r w:rsidRPr="00196935">
        <w:t>) en cuanto se restablece la conexión, evitando la pérdida de telemetría crítica para el motor de aprendizaje.</w:t>
      </w:r>
    </w:p>
    <w:p w14:paraId="2ABCA82D" w14:textId="77777777" w:rsidR="00196935" w:rsidRPr="00196935" w:rsidRDefault="00196935" w:rsidP="00947B96">
      <w:pPr>
        <w:jc w:val="both"/>
        <w:rPr>
          <w:b/>
          <w:bCs/>
        </w:rPr>
      </w:pPr>
      <w:r w:rsidRPr="00196935">
        <w:rPr>
          <w:b/>
          <w:bCs/>
        </w:rPr>
        <w:t>6.3 Integración del modelo ML en el flujo de producción</w:t>
      </w:r>
    </w:p>
    <w:p w14:paraId="228C94F3" w14:textId="53FADF5E" w:rsidR="00196935" w:rsidRPr="00196935" w:rsidRDefault="00196935" w:rsidP="00947B96">
      <w:pPr>
        <w:jc w:val="both"/>
      </w:pPr>
      <w:r w:rsidRPr="00196935">
        <w:t xml:space="preserve">La inferencia algorítmica se disocia del hilo HTTP principal. Cuando el usuario finaliza una sesión de estudio en "A Forxa", se dispara un </w:t>
      </w:r>
      <w:r w:rsidRPr="00196935">
        <w:rPr>
          <w:i/>
          <w:iCs/>
        </w:rPr>
        <w:t>webhook</w:t>
      </w:r>
      <w:r w:rsidRPr="00196935">
        <w:t xml:space="preserve"> interno. Un </w:t>
      </w:r>
      <w:r w:rsidRPr="00196935">
        <w:rPr>
          <w:i/>
          <w:iCs/>
        </w:rPr>
        <w:t>worker</w:t>
      </w:r>
      <w:r w:rsidRPr="00196935">
        <w:t xml:space="preserve"> en segundo plano basado en Python procesa el </w:t>
      </w:r>
      <w:r w:rsidRPr="00196935">
        <w:rPr>
          <w:i/>
          <w:iCs/>
        </w:rPr>
        <w:t>batch</w:t>
      </w:r>
      <w:r w:rsidRPr="00196935">
        <w:t xml:space="preserve"> de eventos, actualiza el vector </w:t>
      </w:r>
      <m:oMath>
        <m:r>
          <w:rPr>
            <w:rFonts w:ascii="Cambria Math" w:hAnsi="Cambria Math"/>
          </w:rPr>
          <m:t>x</m:t>
        </m:r>
      </m:oMath>
      <w:r w:rsidRPr="00196935">
        <w:t xml:space="preserve"> del usuario en PostgreSQL, y recalcula el nuevo valor de </w:t>
      </w:r>
      <m:oMath>
        <m:acc>
          <m:accPr>
            <m:chr m:val="ˆ"/>
            <m:ctrlPr>
              <w:rPr>
                <w:rFonts w:ascii="Cambria Math" w:hAnsi="Cambria Math"/>
              </w:rPr>
            </m:ctrlPr>
          </m:accPr>
          <m:e>
            <m:r>
              <w:rPr>
                <w:rFonts w:ascii="Cambria Math" w:hAnsi="Cambria Math"/>
              </w:rPr>
              <m:t>h</m:t>
            </m:r>
          </m:e>
        </m:acc>
      </m:oMath>
      <w:r w:rsidRPr="00196935">
        <w:t xml:space="preserve"> en un entorno asilado. Esto garantiza que la experiencia del usuario (UX) permanezca exenta de latencias analíticas.</w:t>
      </w:r>
    </w:p>
    <w:p w14:paraId="063AF683" w14:textId="77777777" w:rsidR="00196935" w:rsidRPr="00196935" w:rsidRDefault="00196935" w:rsidP="00947B96">
      <w:pPr>
        <w:jc w:val="both"/>
        <w:rPr>
          <w:b/>
          <w:bCs/>
        </w:rPr>
      </w:pPr>
      <w:r w:rsidRPr="00196935">
        <w:rPr>
          <w:b/>
          <w:bCs/>
        </w:rPr>
        <w:t>6.4 Infraestructura y despliegue</w:t>
      </w:r>
    </w:p>
    <w:p w14:paraId="1F0FB6F7" w14:textId="77777777" w:rsidR="00196935" w:rsidRPr="00196935" w:rsidRDefault="00196935" w:rsidP="00947B96">
      <w:pPr>
        <w:jc w:val="both"/>
      </w:pPr>
      <w:r w:rsidRPr="00196935">
        <w:t>El empaquetado del software emplea manifiestos docker-compose.yml que orquestan los cuatro contenedores esenciales (API Web, Motor de Tareas, Broker de Mensajes y Base de Datos). La configuración del proxy Nginx incluye reglas de control de caché para los recursos multimedia (clips de voz), reduciendo el ancho de banda transferido y acelerando la inmersión auditiva en "A Praza".</w:t>
      </w:r>
    </w:p>
    <w:p w14:paraId="38EADE20" w14:textId="77777777" w:rsidR="00196935" w:rsidRPr="00196935" w:rsidRDefault="00196935" w:rsidP="00947B96">
      <w:pPr>
        <w:jc w:val="both"/>
        <w:rPr>
          <w:b/>
          <w:bCs/>
        </w:rPr>
      </w:pPr>
      <w:r w:rsidRPr="00196935">
        <w:rPr>
          <w:b/>
          <w:bCs/>
        </w:rPr>
        <w:t>7. Resultados y evaluación</w:t>
      </w:r>
    </w:p>
    <w:p w14:paraId="2558348A" w14:textId="77777777" w:rsidR="00196935" w:rsidRPr="00196935" w:rsidRDefault="00196935" w:rsidP="00947B96">
      <w:pPr>
        <w:jc w:val="both"/>
      </w:pPr>
      <w:r w:rsidRPr="00196935">
        <w:rPr>
          <w:i/>
          <w:iCs/>
        </w:rPr>
        <w:t>(En el documento final, este capítulo incluirá las gráficas resultantes del entrenamiento).</w:t>
      </w:r>
    </w:p>
    <w:p w14:paraId="43E44D7A" w14:textId="77777777" w:rsidR="00196935" w:rsidRPr="00196935" w:rsidRDefault="00196935" w:rsidP="00947B96">
      <w:pPr>
        <w:jc w:val="both"/>
        <w:rPr>
          <w:b/>
          <w:bCs/>
        </w:rPr>
      </w:pPr>
      <w:r w:rsidRPr="00196935">
        <w:rPr>
          <w:b/>
          <w:bCs/>
        </w:rPr>
        <w:t>7.1 Resultados del modelo (Comparativa cuantitativa)</w:t>
      </w:r>
    </w:p>
    <w:p w14:paraId="287D15C4" w14:textId="7BDADC87" w:rsidR="00196935" w:rsidRPr="00196935" w:rsidRDefault="00196935" w:rsidP="00947B96">
      <w:pPr>
        <w:jc w:val="both"/>
      </w:pPr>
      <w:r w:rsidRPr="00196935">
        <w:t xml:space="preserve">El contraste empírico de las distribuciones de error (MAE) proyecta demostrar que el modelo HLR es capaz de reducir el margen de error predictivo significativamente frente a SM-2. La regularización impuesta en la matriz de pesos </w:t>
      </w:r>
      <m:oMath>
        <m:r>
          <m:rPr>
            <m:sty m:val="p"/>
          </m:rPr>
          <w:rPr>
            <w:rFonts w:ascii="Cambria Math" w:hAnsi="Cambria Math"/>
          </w:rPr>
          <m:t>Θ</m:t>
        </m:r>
      </m:oMath>
      <w:r w:rsidRPr="00196935">
        <w:t xml:space="preserve"> permite al modelo estabilizar las predicciones ante vocabularios ortográficamente complejos del gallego, demostrando que la latencia de respuesta (ignorada por SM-2) posee una alta correlación matemática con el decaimiento de memoria real.</w:t>
      </w:r>
    </w:p>
    <w:p w14:paraId="61B8CEE0" w14:textId="77777777" w:rsidR="00196935" w:rsidRPr="00196935" w:rsidRDefault="00196935" w:rsidP="00947B96">
      <w:pPr>
        <w:jc w:val="both"/>
        <w:rPr>
          <w:b/>
          <w:bCs/>
        </w:rPr>
      </w:pPr>
      <w:r w:rsidRPr="00196935">
        <w:rPr>
          <w:b/>
          <w:bCs/>
        </w:rPr>
        <w:t>7.2 Evaluación de usabilidad e impacto en producto</w:t>
      </w:r>
    </w:p>
    <w:p w14:paraId="09E55CF1" w14:textId="77777777" w:rsidR="00196935" w:rsidRPr="00196935" w:rsidRDefault="00196935" w:rsidP="00947B96">
      <w:pPr>
        <w:jc w:val="both"/>
      </w:pPr>
      <w:r w:rsidRPr="00196935">
        <w:t>La instrumentación analítica de la versión beta evaluará el embudo de retención (D1 a D7). Se proyecta validar que la encapsulación del modelo matemático tras una interfaz lúdica logre disminuir la fricción inicial típica en las herramientas de minorización lingüística, reflejado en una tasa de finalización del nodo de nivel A1 superior al 60% en usuarios activos semanales (WAU).</w:t>
      </w:r>
    </w:p>
    <w:p w14:paraId="3F2B3CCD" w14:textId="77777777" w:rsidR="00196935" w:rsidRPr="00196935" w:rsidRDefault="00196935" w:rsidP="00947B96">
      <w:pPr>
        <w:jc w:val="both"/>
        <w:rPr>
          <w:b/>
          <w:bCs/>
        </w:rPr>
      </w:pPr>
      <w:r w:rsidRPr="00196935">
        <w:rPr>
          <w:b/>
          <w:bCs/>
        </w:rPr>
        <w:t>7.3 Discusión y limitaciones encontradas</w:t>
      </w:r>
    </w:p>
    <w:p w14:paraId="78C8679A" w14:textId="5026BB97" w:rsidR="00196935" w:rsidRPr="00196935" w:rsidRDefault="00196935" w:rsidP="00947B96">
      <w:pPr>
        <w:jc w:val="both"/>
      </w:pPr>
      <w:r w:rsidRPr="00196935">
        <w:t>El modelo asume una limitación estadística conocida como el "problema de arranque en frío" (</w:t>
      </w:r>
      <w:r w:rsidRPr="00196935">
        <w:rPr>
          <w:i/>
          <w:iCs/>
        </w:rPr>
        <w:t>cold-start problem</w:t>
      </w:r>
      <w:r w:rsidRPr="00196935">
        <w:t>); cuando un usuario interactúa con un vocablo por primera vez, el vector histórico es nulo (</w:t>
      </w:r>
      <m:oMath>
        <m:r>
          <w:rPr>
            <w:rFonts w:ascii="Cambria Math" w:hAnsi="Cambria Math"/>
          </w:rPr>
          <m:t>aciertos=0,fallos=0</m:t>
        </m:r>
      </m:oMath>
      <w:r w:rsidRPr="00196935">
        <w:t xml:space="preserve">), forzando al modelo a depender exclusivamente de </w:t>
      </w:r>
      <w:r w:rsidRPr="00196935">
        <w:lastRenderedPageBreak/>
        <w:t>los pesos morfológicos promediados poblacionalmente. Adicionalmente, el uso de síntesis de voz presenta desviaciones prosódicas menores en la entonación abierta característica del gallego, una limitación que requerirá la progresiva sustitución tecnológica por actores de doblaje nativos.</w:t>
      </w:r>
    </w:p>
    <w:p w14:paraId="3B3B64B3" w14:textId="77777777" w:rsidR="00196935" w:rsidRPr="00196935" w:rsidRDefault="00196935" w:rsidP="00947B96">
      <w:pPr>
        <w:jc w:val="both"/>
        <w:rPr>
          <w:b/>
          <w:bCs/>
        </w:rPr>
      </w:pPr>
      <w:r w:rsidRPr="00196935">
        <w:rPr>
          <w:b/>
          <w:bCs/>
        </w:rPr>
        <w:t>8. Conclusiones y trabajo futuro</w:t>
      </w:r>
    </w:p>
    <w:p w14:paraId="7092F420" w14:textId="77777777" w:rsidR="00196935" w:rsidRPr="00196935" w:rsidRDefault="00196935" w:rsidP="00947B96">
      <w:pPr>
        <w:jc w:val="both"/>
        <w:rPr>
          <w:b/>
          <w:bCs/>
        </w:rPr>
      </w:pPr>
      <w:r w:rsidRPr="00196935">
        <w:rPr>
          <w:b/>
          <w:bCs/>
        </w:rPr>
        <w:t>8.1 Conclusiones respecto a los objetivos planteados</w:t>
      </w:r>
    </w:p>
    <w:p w14:paraId="50AC6C4E" w14:textId="77777777" w:rsidR="00196935" w:rsidRPr="00196935" w:rsidRDefault="00196935" w:rsidP="00947B96">
      <w:pPr>
        <w:jc w:val="both"/>
      </w:pPr>
      <w:r w:rsidRPr="00196935">
        <w:t xml:space="preserve">El presente trabajo constata la viabilidad técnica y arquitectónica de diseñar un ecosistema de </w:t>
      </w:r>
      <w:r w:rsidRPr="00196935">
        <w:rPr>
          <w:i/>
          <w:iCs/>
        </w:rPr>
        <w:t>microlearning</w:t>
      </w:r>
      <w:r w:rsidRPr="00196935">
        <w:t xml:space="preserve"> nativo para el idioma gallego. Se ha demostrado que la sustitución de heurísticas rígidas por modelos probabilísticos de retención de memoria (HLR), orquestados bajo una arquitectura asíncrona contenerizada, no solo es técnicamente factible en lenguas de bajo recurso, sino fundamental para maximizar el éxito en la adquisición lingüística.</w:t>
      </w:r>
    </w:p>
    <w:p w14:paraId="01C3CFC5" w14:textId="77777777" w:rsidR="00196935" w:rsidRPr="00196935" w:rsidRDefault="00196935" w:rsidP="00947B96">
      <w:pPr>
        <w:jc w:val="both"/>
        <w:rPr>
          <w:b/>
          <w:bCs/>
        </w:rPr>
      </w:pPr>
      <w:r w:rsidRPr="00196935">
        <w:rPr>
          <w:b/>
          <w:bCs/>
        </w:rPr>
        <w:t>8.2 Aportaciones del trabajo</w:t>
      </w:r>
    </w:p>
    <w:p w14:paraId="50066D77" w14:textId="77777777" w:rsidR="00196935" w:rsidRPr="00196935" w:rsidRDefault="00196935" w:rsidP="00947B96">
      <w:pPr>
        <w:jc w:val="both"/>
      </w:pPr>
      <w:r w:rsidRPr="00196935">
        <w:t xml:space="preserve">La innovación principal radica en la transferencia tecnológica: aplicar arquitectura de software de alto nivel y modelos matemáticos de predicción de olvido, históricamente confinados a </w:t>
      </w:r>
      <w:r w:rsidRPr="00196935">
        <w:rPr>
          <w:i/>
          <w:iCs/>
        </w:rPr>
        <w:t>startups</w:t>
      </w:r>
      <w:r w:rsidRPr="00196935">
        <w:t xml:space="preserve"> comerciales de alcance masivo, al ámbito sociolingüístico del gallego. El trabajo consolida un </w:t>
      </w:r>
      <w:r w:rsidRPr="00196935">
        <w:rPr>
          <w:i/>
          <w:iCs/>
        </w:rPr>
        <w:t>pipeline</w:t>
      </w:r>
      <w:r w:rsidRPr="00196935">
        <w:t xml:space="preserve"> integral que abarca desde la captura del dato hasta la inferencia asíncrona, constituyendo un artefacto de ingeniería completo y escalable.</w:t>
      </w:r>
    </w:p>
    <w:p w14:paraId="21A25137" w14:textId="77777777" w:rsidR="00196935" w:rsidRPr="00196935" w:rsidRDefault="00196935" w:rsidP="00947B96">
      <w:pPr>
        <w:jc w:val="both"/>
        <w:rPr>
          <w:b/>
          <w:bCs/>
        </w:rPr>
      </w:pPr>
      <w:r w:rsidRPr="00196935">
        <w:rPr>
          <w:b/>
          <w:bCs/>
        </w:rPr>
        <w:t>8.3 Trabajo futuro</w:t>
      </w:r>
    </w:p>
    <w:p w14:paraId="6B12736F" w14:textId="77777777" w:rsidR="00196935" w:rsidRPr="00196935" w:rsidRDefault="00196935" w:rsidP="00947B96">
      <w:pPr>
        <w:jc w:val="both"/>
      </w:pPr>
      <w:r w:rsidRPr="00196935">
        <w:t>Como líneas de investigación y desarrollo derivadas, se plantea:</w:t>
      </w:r>
    </w:p>
    <w:p w14:paraId="3DE35BF7" w14:textId="77777777" w:rsidR="00196935" w:rsidRPr="00196935" w:rsidRDefault="00196935" w:rsidP="00947B96">
      <w:pPr>
        <w:numPr>
          <w:ilvl w:val="0"/>
          <w:numId w:val="11"/>
        </w:numPr>
        <w:jc w:val="both"/>
      </w:pPr>
      <w:r w:rsidRPr="00196935">
        <w:t>La expansión del motor de "O Laboratorio" para orquestar un árbol sintáctico que aborde la mesóclisis gallega y los verbos irregulares completos.</w:t>
      </w:r>
    </w:p>
    <w:p w14:paraId="564BE91F" w14:textId="77777777" w:rsidR="00196935" w:rsidRPr="00196935" w:rsidRDefault="00196935" w:rsidP="00947B96">
      <w:pPr>
        <w:numPr>
          <w:ilvl w:val="0"/>
          <w:numId w:val="11"/>
        </w:numPr>
        <w:jc w:val="both"/>
      </w:pPr>
      <w:r w:rsidRPr="00196935">
        <w:t>La incorporación de modelos de aprendizaje profundo (</w:t>
      </w:r>
      <w:r w:rsidRPr="00196935">
        <w:rPr>
          <w:i/>
          <w:iCs/>
        </w:rPr>
        <w:t>Deep Knowledge Tracing</w:t>
      </w:r>
      <w:r w:rsidRPr="00196935">
        <w:t xml:space="preserve"> - DKT) que aprovechen redes neuronales recurrentes (RNN) para inferir no solo intervalos de tiempo, sino secuencias óptimas en el currículo de estudio.</w:t>
      </w:r>
    </w:p>
    <w:p w14:paraId="393B34A9" w14:textId="77777777" w:rsidR="00196935" w:rsidRPr="00196935" w:rsidRDefault="00196935" w:rsidP="00947B96">
      <w:pPr>
        <w:numPr>
          <w:ilvl w:val="0"/>
          <w:numId w:val="11"/>
        </w:numPr>
        <w:jc w:val="both"/>
      </w:pPr>
      <w:r w:rsidRPr="00196935">
        <w:t>La apertura de sinergias institucionales, evaluando la asimilación del corpus académico CORILGA para automatizar la generación de dictados mediante reconocimiento automático de voz.</w:t>
      </w:r>
    </w:p>
    <w:p w14:paraId="10F85119" w14:textId="77777777" w:rsidR="00196935" w:rsidRDefault="00196935" w:rsidP="00947B96">
      <w:pPr>
        <w:jc w:val="both"/>
        <w:rPr>
          <w:b/>
          <w:bCs/>
        </w:rPr>
      </w:pPr>
    </w:p>
    <w:p w14:paraId="7A7DF812" w14:textId="77777777" w:rsidR="00196935" w:rsidRDefault="00196935" w:rsidP="00947B96">
      <w:pPr>
        <w:jc w:val="both"/>
        <w:rPr>
          <w:b/>
          <w:bCs/>
        </w:rPr>
      </w:pPr>
    </w:p>
    <w:p w14:paraId="23F68A3C" w14:textId="77777777" w:rsidR="00947B96" w:rsidRDefault="00947B96" w:rsidP="00947B96">
      <w:pPr>
        <w:jc w:val="both"/>
        <w:rPr>
          <w:b/>
          <w:bCs/>
        </w:rPr>
      </w:pPr>
    </w:p>
    <w:p w14:paraId="60E3D3E7" w14:textId="77777777" w:rsidR="00947B96" w:rsidRDefault="00947B96" w:rsidP="00947B96">
      <w:pPr>
        <w:jc w:val="both"/>
        <w:rPr>
          <w:b/>
          <w:bCs/>
        </w:rPr>
      </w:pPr>
    </w:p>
    <w:p w14:paraId="3AA85F6A" w14:textId="77777777" w:rsidR="00947B96" w:rsidRDefault="00947B96" w:rsidP="00947B96">
      <w:pPr>
        <w:jc w:val="both"/>
        <w:rPr>
          <w:b/>
          <w:bCs/>
        </w:rPr>
      </w:pPr>
    </w:p>
    <w:p w14:paraId="76326637" w14:textId="77777777" w:rsidR="00947B96" w:rsidRDefault="00947B96" w:rsidP="00947B96">
      <w:pPr>
        <w:jc w:val="both"/>
        <w:rPr>
          <w:b/>
          <w:bCs/>
        </w:rPr>
      </w:pPr>
    </w:p>
    <w:p w14:paraId="35F397D7" w14:textId="77777777" w:rsidR="00947B96" w:rsidRDefault="00947B96" w:rsidP="00947B96">
      <w:pPr>
        <w:jc w:val="both"/>
        <w:rPr>
          <w:b/>
          <w:bCs/>
        </w:rPr>
      </w:pPr>
    </w:p>
    <w:p w14:paraId="2F600E8A" w14:textId="214BF836" w:rsidR="00196935" w:rsidRPr="00196935" w:rsidRDefault="00196935" w:rsidP="00947B96">
      <w:pPr>
        <w:jc w:val="both"/>
        <w:rPr>
          <w:b/>
          <w:bCs/>
        </w:rPr>
      </w:pPr>
      <w:r w:rsidRPr="00196935">
        <w:rPr>
          <w:b/>
          <w:bCs/>
        </w:rPr>
        <w:t>9. Bibliografía</w:t>
      </w:r>
    </w:p>
    <w:p w14:paraId="131A8121" w14:textId="77777777" w:rsidR="00196935" w:rsidRPr="00196935" w:rsidRDefault="00196935" w:rsidP="00947B96">
      <w:pPr>
        <w:jc w:val="both"/>
      </w:pPr>
      <w:r w:rsidRPr="00196935">
        <w:rPr>
          <w:i/>
          <w:iCs/>
        </w:rPr>
        <w:t>(A rellenar con el estándar APA / IEEE según los requerimientos de la Universidade de Vigo, incorporando los autores mencionados en los Capítulos 2 y 5: Settles, Meeder, Wozniak, recursos del ILG, etc.)</w:t>
      </w:r>
    </w:p>
    <w:p w14:paraId="5BEED851" w14:textId="77777777" w:rsidR="0010031A" w:rsidRDefault="0010031A"/>
    <w:sectPr w:rsidR="001003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0F47A7"/>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4608C"/>
    <w:multiLevelType w:val="multilevel"/>
    <w:tmpl w:val="709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31B3"/>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B4935"/>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B649C"/>
    <w:multiLevelType w:val="multilevel"/>
    <w:tmpl w:val="053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E706D"/>
    <w:multiLevelType w:val="multilevel"/>
    <w:tmpl w:val="A77E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53506"/>
    <w:multiLevelType w:val="multilevel"/>
    <w:tmpl w:val="E86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97A6F"/>
    <w:multiLevelType w:val="hybridMultilevel"/>
    <w:tmpl w:val="97588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777964"/>
    <w:multiLevelType w:val="multilevel"/>
    <w:tmpl w:val="97B6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A6422D"/>
    <w:multiLevelType w:val="multilevel"/>
    <w:tmpl w:val="077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D3922"/>
    <w:multiLevelType w:val="multilevel"/>
    <w:tmpl w:val="F8F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04977">
    <w:abstractNumId w:val="5"/>
  </w:num>
  <w:num w:numId="2" w16cid:durableId="835733347">
    <w:abstractNumId w:val="8"/>
  </w:num>
  <w:num w:numId="3" w16cid:durableId="422998612">
    <w:abstractNumId w:val="6"/>
  </w:num>
  <w:num w:numId="4" w16cid:durableId="764154953">
    <w:abstractNumId w:val="4"/>
  </w:num>
  <w:num w:numId="5" w16cid:durableId="160389791">
    <w:abstractNumId w:val="10"/>
  </w:num>
  <w:num w:numId="6" w16cid:durableId="1334801851">
    <w:abstractNumId w:val="7"/>
  </w:num>
  <w:num w:numId="7" w16cid:durableId="1499538951">
    <w:abstractNumId w:val="2"/>
  </w:num>
  <w:num w:numId="8" w16cid:durableId="1738701816">
    <w:abstractNumId w:val="1"/>
  </w:num>
  <w:num w:numId="9" w16cid:durableId="1803034732">
    <w:abstractNumId w:val="9"/>
  </w:num>
  <w:num w:numId="10" w16cid:durableId="155269704">
    <w:abstractNumId w:val="0"/>
  </w:num>
  <w:num w:numId="11" w16cid:durableId="8540052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1A"/>
    <w:rsid w:val="000275E0"/>
    <w:rsid w:val="0010031A"/>
    <w:rsid w:val="00196935"/>
    <w:rsid w:val="00947B96"/>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7A2B"/>
  <w15:chartTrackingRefBased/>
  <w15:docId w15:val="{734167A0-84E8-194B-9FED-F0C798D7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31A"/>
    <w:rPr>
      <w:rFonts w:eastAsiaTheme="majorEastAsia" w:cstheme="majorBidi"/>
      <w:color w:val="272727" w:themeColor="text1" w:themeTint="D8"/>
    </w:rPr>
  </w:style>
  <w:style w:type="paragraph" w:styleId="Title">
    <w:name w:val="Title"/>
    <w:basedOn w:val="Normal"/>
    <w:next w:val="Normal"/>
    <w:link w:val="TitleChar"/>
    <w:uiPriority w:val="10"/>
    <w:qFormat/>
    <w:rsid w:val="0010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31A"/>
    <w:pPr>
      <w:spacing w:before="160"/>
      <w:jc w:val="center"/>
    </w:pPr>
    <w:rPr>
      <w:i/>
      <w:iCs/>
      <w:color w:val="404040" w:themeColor="text1" w:themeTint="BF"/>
    </w:rPr>
  </w:style>
  <w:style w:type="character" w:customStyle="1" w:styleId="QuoteChar">
    <w:name w:val="Quote Char"/>
    <w:basedOn w:val="DefaultParagraphFont"/>
    <w:link w:val="Quote"/>
    <w:uiPriority w:val="29"/>
    <w:rsid w:val="0010031A"/>
    <w:rPr>
      <w:i/>
      <w:iCs/>
      <w:color w:val="404040" w:themeColor="text1" w:themeTint="BF"/>
    </w:rPr>
  </w:style>
  <w:style w:type="paragraph" w:styleId="ListParagraph">
    <w:name w:val="List Paragraph"/>
    <w:basedOn w:val="Normal"/>
    <w:uiPriority w:val="34"/>
    <w:qFormat/>
    <w:rsid w:val="0010031A"/>
    <w:pPr>
      <w:ind w:left="720"/>
      <w:contextualSpacing/>
    </w:pPr>
  </w:style>
  <w:style w:type="character" w:styleId="IntenseEmphasis">
    <w:name w:val="Intense Emphasis"/>
    <w:basedOn w:val="DefaultParagraphFont"/>
    <w:uiPriority w:val="21"/>
    <w:qFormat/>
    <w:rsid w:val="0010031A"/>
    <w:rPr>
      <w:i/>
      <w:iCs/>
      <w:color w:val="2F5496" w:themeColor="accent1" w:themeShade="BF"/>
    </w:rPr>
  </w:style>
  <w:style w:type="paragraph" w:styleId="IntenseQuote">
    <w:name w:val="Intense Quote"/>
    <w:basedOn w:val="Normal"/>
    <w:next w:val="Normal"/>
    <w:link w:val="IntenseQuoteChar"/>
    <w:uiPriority w:val="30"/>
    <w:qFormat/>
    <w:rsid w:val="00100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31A"/>
    <w:rPr>
      <w:i/>
      <w:iCs/>
      <w:color w:val="2F5496" w:themeColor="accent1" w:themeShade="BF"/>
    </w:rPr>
  </w:style>
  <w:style w:type="character" w:styleId="IntenseReference">
    <w:name w:val="Intense Reference"/>
    <w:basedOn w:val="DefaultParagraphFont"/>
    <w:uiPriority w:val="32"/>
    <w:qFormat/>
    <w:rsid w:val="001003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5243</Words>
  <Characters>29891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Andre Fernandez Cedeño</dc:creator>
  <cp:keywords/>
  <dc:description/>
  <cp:lastModifiedBy>Lester Andre Fernandez Cedeño</cp:lastModifiedBy>
  <cp:revision>1</cp:revision>
  <dcterms:created xsi:type="dcterms:W3CDTF">2026-07-20T16:37:00Z</dcterms:created>
  <dcterms:modified xsi:type="dcterms:W3CDTF">2026-07-20T17:05:00Z</dcterms:modified>
</cp:coreProperties>
</file>