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39941D" w14:textId="1EC97C8E" w:rsidR="00D10654" w:rsidRDefault="00D10654" w:rsidP="00C12E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2E92">
        <w:rPr>
          <w:rFonts w:ascii="Times New Roman" w:eastAsia="Times New Roman" w:hAnsi="Times New Roman" w:cs="Times New Roman"/>
          <w:b/>
          <w:bCs/>
          <w:kern w:val="0"/>
          <w:sz w:val="27"/>
          <w:szCs w:val="27"/>
          <w14:ligatures w14:val="none"/>
        </w:rPr>
        <w:t>TFM Galingo</w:t>
      </w:r>
    </w:p>
    <w:p w14:paraId="7EF52CED" w14:textId="77777777" w:rsidR="00D10654" w:rsidRDefault="00D10654" w:rsidP="00C12E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3979174B" w14:textId="43F3E717" w:rsidR="00C12E92" w:rsidRPr="00C12E92" w:rsidRDefault="00C12E92" w:rsidP="00C12E9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12E92">
        <w:rPr>
          <w:rFonts w:ascii="Times New Roman" w:eastAsia="Times New Roman" w:hAnsi="Times New Roman" w:cs="Times New Roman"/>
          <w:b/>
          <w:bCs/>
          <w:kern w:val="0"/>
          <w:sz w:val="27"/>
          <w:szCs w:val="27"/>
          <w14:ligatures w14:val="none"/>
        </w:rPr>
        <w:t xml:space="preserve">Índice esqueleto  </w:t>
      </w:r>
    </w:p>
    <w:p w14:paraId="757F706F" w14:textId="77777777" w:rsidR="00C12E92" w:rsidRPr="00C12E92" w:rsidRDefault="00C12E92" w:rsidP="00C12E92">
      <w:p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b/>
          <w:bCs/>
          <w:kern w:val="0"/>
          <w14:ligatures w14:val="none"/>
        </w:rPr>
        <w:t>Portada, Resumen (ES) / Abstract (EN), Índice, Índice de figuras/tablas</w:t>
      </w:r>
    </w:p>
    <w:p w14:paraId="35094A83" w14:textId="22782231" w:rsidR="00C12E92" w:rsidRPr="00C12E92" w:rsidRDefault="00C12E92" w:rsidP="00C12E92">
      <w:pPr>
        <w:spacing w:after="0" w:line="240" w:lineRule="auto"/>
        <w:rPr>
          <w:rFonts w:ascii="Times New Roman" w:eastAsia="Times New Roman" w:hAnsi="Times New Roman" w:cs="Times New Roman"/>
          <w:kern w:val="0"/>
          <w14:ligatures w14:val="none"/>
        </w:rPr>
      </w:pPr>
    </w:p>
    <w:p w14:paraId="407C448E" w14:textId="77777777" w:rsidR="00C12E92" w:rsidRPr="00C12E92" w:rsidRDefault="00C12E92" w:rsidP="00C12E92">
      <w:p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b/>
          <w:bCs/>
          <w:kern w:val="0"/>
          <w14:ligatures w14:val="none"/>
        </w:rPr>
        <w:t>1. Introducción</w:t>
      </w:r>
    </w:p>
    <w:p w14:paraId="7A5EC191" w14:textId="77777777" w:rsidR="00C12E92" w:rsidRPr="00C12E92" w:rsidRDefault="00C12E92" w:rsidP="00C12E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1.1 Motivación y contexto (situación del gallego como lengua minorizada, carencia de apps nativas de aprendizaje)</w:t>
      </w:r>
    </w:p>
    <w:p w14:paraId="2034CA8B" w14:textId="77777777" w:rsidR="00C12E92" w:rsidRPr="00C12E92" w:rsidRDefault="00C12E92" w:rsidP="00C12E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1.2 Problema a resolver</w:t>
      </w:r>
    </w:p>
    <w:p w14:paraId="244AFB82" w14:textId="77777777" w:rsidR="00C12E92" w:rsidRPr="00C12E92" w:rsidRDefault="00C12E92" w:rsidP="00C12E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1.3 Objetivos generales y específicos</w:t>
      </w:r>
    </w:p>
    <w:p w14:paraId="6B9F68DD" w14:textId="77777777" w:rsidR="00C12E92" w:rsidRPr="00C12E92" w:rsidRDefault="00C12E92" w:rsidP="00C12E9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1.4 Estructura de la memoria</w:t>
      </w:r>
    </w:p>
    <w:p w14:paraId="5D86E0CB" w14:textId="77777777" w:rsidR="00C12E92" w:rsidRPr="00C12E92" w:rsidRDefault="00C12E92" w:rsidP="00C12E92">
      <w:p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b/>
          <w:bCs/>
          <w:kern w:val="0"/>
          <w14:ligatures w14:val="none"/>
        </w:rPr>
        <w:t>2. Estado del arte</w:t>
      </w:r>
    </w:p>
    <w:p w14:paraId="1A6AA4FD" w14:textId="77777777" w:rsidR="00C12E92" w:rsidRPr="00C12E92" w:rsidRDefault="00C12E92" w:rsidP="00C12E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2.1 Sistemas de microlearning y gamificación en aprendizaje de idiomas (Duolingo, Babbel, etc. — análisis comparativo, no descriptivo)</w:t>
      </w:r>
    </w:p>
    <w:p w14:paraId="08483E34" w14:textId="77777777" w:rsidR="00C12E92" w:rsidRPr="00C12E92" w:rsidRDefault="00C12E92" w:rsidP="00C12E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2.2 Algoritmos de repetición espaciada: de Leitner y SM-2 a modelos probabilísticos</w:t>
      </w:r>
    </w:p>
    <w:p w14:paraId="5686FE85" w14:textId="77777777" w:rsidR="00C12E92" w:rsidRPr="00C12E92" w:rsidRDefault="00C12E92" w:rsidP="00C12E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2.3 Half-Life Regression y modelos de predicción de memoria/olvido (Settles &amp; Meeder, y trabajos posteriores)</w:t>
      </w:r>
    </w:p>
    <w:p w14:paraId="13DF25E9" w14:textId="77777777" w:rsidR="00C12E92" w:rsidRPr="00C12E92" w:rsidRDefault="00C12E92" w:rsidP="00C12E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2.4 Recursos de PLN para lenguas de bajo recurso: el caso del gallego</w:t>
      </w:r>
    </w:p>
    <w:p w14:paraId="72BE1D34" w14:textId="77777777" w:rsidR="00C12E92" w:rsidRPr="00C12E92" w:rsidRDefault="00C12E92" w:rsidP="00C12E9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2.5 Conclusiones del estado del arte y posicionamiento del trabajo (dónde encaja tu aporte)</w:t>
      </w:r>
    </w:p>
    <w:p w14:paraId="027351A0" w14:textId="77777777" w:rsidR="00C12E92" w:rsidRPr="00C12E92" w:rsidRDefault="00C12E92" w:rsidP="00C12E92">
      <w:p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b/>
          <w:bCs/>
          <w:kern w:val="0"/>
          <w14:ligatures w14:val="none"/>
        </w:rPr>
        <w:t>3. Objetivos y alcance</w:t>
      </w:r>
    </w:p>
    <w:p w14:paraId="1D0F12A9" w14:textId="77777777" w:rsidR="00C12E92" w:rsidRPr="00C12E92" w:rsidRDefault="00C12E92" w:rsidP="00C12E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3.1 Objetivo general</w:t>
      </w:r>
    </w:p>
    <w:p w14:paraId="664BA553" w14:textId="77777777" w:rsidR="00C12E92" w:rsidRPr="00C12E92" w:rsidRDefault="00C12E92" w:rsidP="00C12E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3.2 Objetivos específicos (técnicos y de producto, diferenciados)</w:t>
      </w:r>
    </w:p>
    <w:p w14:paraId="7F126061" w14:textId="77777777" w:rsidR="00C12E92" w:rsidRPr="00C12E92" w:rsidRDefault="00C12E92" w:rsidP="00C12E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3.3 Alcance del MVP y limitaciones asumidas</w:t>
      </w:r>
    </w:p>
    <w:p w14:paraId="7F085368" w14:textId="77777777" w:rsidR="00C12E92" w:rsidRPr="00C12E92" w:rsidRDefault="00C12E92" w:rsidP="00C12E9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3.4 Preguntas de investigación / hipótesis (ej.: "¿Un modelo entrenado con datos de interacción supera a SM-2 en precisión de predicción de recuerdo?")</w:t>
      </w:r>
    </w:p>
    <w:p w14:paraId="7D74CBD1" w14:textId="77777777" w:rsidR="00C12E92" w:rsidRPr="00C12E92" w:rsidRDefault="00C12E92" w:rsidP="00C12E92">
      <w:p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b/>
          <w:bCs/>
          <w:kern w:val="0"/>
          <w14:ligatures w14:val="none"/>
        </w:rPr>
        <w:t>4. Diseño del sistema</w:t>
      </w:r>
    </w:p>
    <w:p w14:paraId="04BC07B1" w14:textId="77777777" w:rsidR="00C12E92" w:rsidRPr="00C12E92" w:rsidRDefault="00C12E92" w:rsidP="00C12E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4.1 Arquitectura general (diagrama de alto nivel: frontend, backend, módulo ML)</w:t>
      </w:r>
    </w:p>
    <w:p w14:paraId="3C7FC108" w14:textId="77777777" w:rsidR="00C12E92" w:rsidRPr="00C12E92" w:rsidRDefault="00C12E92" w:rsidP="00C12E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4.2 Diseño de datos: esquema de la base de datos, esquema de eventos de interacción capturados</w:t>
      </w:r>
    </w:p>
    <w:p w14:paraId="0C1D1E6F" w14:textId="77777777" w:rsidR="00C12E92" w:rsidRPr="00C12E92" w:rsidRDefault="00C12E92" w:rsidP="00C12E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4.3 Diseño de la interfaz (Figma, sistema de diseño, identidad visual — Gabi y paleta)</w:t>
      </w:r>
    </w:p>
    <w:p w14:paraId="54254996" w14:textId="77777777" w:rsidR="00C12E92" w:rsidRPr="00C12E92" w:rsidRDefault="00C12E92" w:rsidP="00C12E9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4.4 Stack tecnológico y justificación de decisiones</w:t>
      </w:r>
    </w:p>
    <w:p w14:paraId="3584E159" w14:textId="77777777" w:rsidR="00C12E92" w:rsidRPr="00C12E92" w:rsidRDefault="00C12E92" w:rsidP="00C12E92">
      <w:p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b/>
          <w:bCs/>
          <w:kern w:val="0"/>
          <w14:ligatures w14:val="none"/>
        </w:rPr>
        <w:t>5. Metodología</w:t>
      </w:r>
      <w:r w:rsidRPr="00C12E92">
        <w:rPr>
          <w:rFonts w:ascii="Times New Roman" w:eastAsia="Times New Roman" w:hAnsi="Times New Roman" w:cs="Times New Roman"/>
          <w:kern w:val="0"/>
          <w14:ligatures w14:val="none"/>
        </w:rPr>
        <w:t xml:space="preserve"> </w:t>
      </w:r>
      <w:r w:rsidRPr="00C12E92">
        <w:rPr>
          <w:rFonts w:ascii="Times New Roman" w:eastAsia="Times New Roman" w:hAnsi="Times New Roman" w:cs="Times New Roman"/>
          <w:i/>
          <w:iCs/>
          <w:kern w:val="0"/>
          <w14:ligatures w14:val="none"/>
        </w:rPr>
        <w:t>(el corazón académico del documento)</w:t>
      </w:r>
    </w:p>
    <w:p w14:paraId="45C5F5B6" w14:textId="77777777" w:rsidR="00C12E92" w:rsidRPr="00C12E92" w:rsidRDefault="00C12E92" w:rsidP="00C12E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lastRenderedPageBreak/>
        <w:t>5.1 Recolección y preparación de datos (corpus lingüístico + datos de interacción de usuarios beta)</w:t>
      </w:r>
    </w:p>
    <w:p w14:paraId="567033E9" w14:textId="77777777" w:rsidR="00C12E92" w:rsidRPr="00C12E92" w:rsidRDefault="00C12E92" w:rsidP="00C12E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5.2 Definición del baseline (SM-2 clásico)</w:t>
      </w:r>
    </w:p>
    <w:p w14:paraId="298467F5" w14:textId="77777777" w:rsidR="00C12E92" w:rsidRPr="00C12E92" w:rsidRDefault="00C12E92" w:rsidP="00C12E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5.3 Diseño del modelo propuesto (features, arquitectura del modelo, proceso de entrenamiento)</w:t>
      </w:r>
    </w:p>
    <w:p w14:paraId="5794F493" w14:textId="77777777" w:rsidR="00C12E92" w:rsidRPr="00C12E92" w:rsidRDefault="00C12E92" w:rsidP="00C12E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5.4 Métricas de evaluación (AUC, calibración, error de predicción de intervalo óptimo)</w:t>
      </w:r>
    </w:p>
    <w:p w14:paraId="08778BB0" w14:textId="77777777" w:rsidR="00C12E92" w:rsidRPr="00C12E92" w:rsidRDefault="00C12E92" w:rsidP="00C12E9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5.5 Diseño experimental (validación cruzada, split de datos, control de sesgos)</w:t>
      </w:r>
    </w:p>
    <w:p w14:paraId="6D36A212" w14:textId="77777777" w:rsidR="00C12E92" w:rsidRPr="00C12E92" w:rsidRDefault="00C12E92" w:rsidP="00C12E92">
      <w:p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b/>
          <w:bCs/>
          <w:kern w:val="0"/>
          <w14:ligatures w14:val="none"/>
        </w:rPr>
        <w:t>6. Desarrollo e implementación</w:t>
      </w:r>
    </w:p>
    <w:p w14:paraId="63F48326" w14:textId="77777777" w:rsidR="00C12E92" w:rsidRPr="00C12E92" w:rsidRDefault="00C12E92" w:rsidP="00C12E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6.1 Backend: API y lógica de negocio</w:t>
      </w:r>
    </w:p>
    <w:p w14:paraId="36583753" w14:textId="77777777" w:rsidR="00C12E92" w:rsidRPr="00C12E92" w:rsidRDefault="00C12E92" w:rsidP="00C12E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6.2 Frontend: flujo de usuario, pantallas clave</w:t>
      </w:r>
    </w:p>
    <w:p w14:paraId="714F41EB" w14:textId="77777777" w:rsidR="00C12E92" w:rsidRPr="00C12E92" w:rsidRDefault="00C12E92" w:rsidP="00C12E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6.3 Integración del modelo ML en el flujo de producción</w:t>
      </w:r>
    </w:p>
    <w:p w14:paraId="08A0BB40" w14:textId="77777777" w:rsidR="00C12E92" w:rsidRPr="00C12E92" w:rsidRDefault="00C12E92" w:rsidP="00C12E9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6.4 Infraestructura y despliegue</w:t>
      </w:r>
    </w:p>
    <w:p w14:paraId="193C48DD" w14:textId="77777777" w:rsidR="00C12E92" w:rsidRPr="00C12E92" w:rsidRDefault="00C12E92" w:rsidP="00C12E92">
      <w:p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b/>
          <w:bCs/>
          <w:kern w:val="0"/>
          <w14:ligatures w14:val="none"/>
        </w:rPr>
        <w:t>7. Resultados y evaluación</w:t>
      </w:r>
    </w:p>
    <w:p w14:paraId="38C40C1E" w14:textId="77777777" w:rsidR="00C12E92" w:rsidRPr="00C12E92" w:rsidRDefault="00C12E92" w:rsidP="00C12E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7.1 Resultados del modelo (comparativa cuantitativa contra baseline)</w:t>
      </w:r>
    </w:p>
    <w:p w14:paraId="5411BFD3" w14:textId="77777777" w:rsidR="00C12E92" w:rsidRPr="00C12E92" w:rsidRDefault="00C12E92" w:rsidP="00C12E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7.2 Evaluación de usabilidad/producto (feedback de beta testers, métricas de engagement si las hay)</w:t>
      </w:r>
    </w:p>
    <w:p w14:paraId="47F8F531" w14:textId="77777777" w:rsidR="00C12E92" w:rsidRPr="00C12E92" w:rsidRDefault="00C12E92" w:rsidP="00C12E9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7.3 Discusión de resultados y limitaciones encontradas</w:t>
      </w:r>
    </w:p>
    <w:p w14:paraId="34E33616" w14:textId="77777777" w:rsidR="00C12E92" w:rsidRPr="00C12E92" w:rsidRDefault="00C12E92" w:rsidP="00C12E92">
      <w:p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b/>
          <w:bCs/>
          <w:kern w:val="0"/>
          <w14:ligatures w14:val="none"/>
        </w:rPr>
        <w:t>8. Conclusiones y trabajo futuro</w:t>
      </w:r>
    </w:p>
    <w:p w14:paraId="0B9EC94E" w14:textId="77777777" w:rsidR="00C12E92" w:rsidRPr="00C12E92" w:rsidRDefault="00C12E92" w:rsidP="00C12E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8.1 Conclusiones respecto a los objetivos planteados</w:t>
      </w:r>
    </w:p>
    <w:p w14:paraId="659D6A9C" w14:textId="77777777" w:rsidR="00C12E92" w:rsidRPr="00C12E92" w:rsidRDefault="00C12E92" w:rsidP="00C12E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8.2 Aportaciones del trabajo</w:t>
      </w:r>
    </w:p>
    <w:p w14:paraId="630FC221" w14:textId="77777777" w:rsidR="00C12E92" w:rsidRPr="00C12E92" w:rsidRDefault="00C12E92" w:rsidP="00C12E9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8.3 Trabajo futuro (verbos irregulares, mesóclisis, expansión de corpus, posible colaboración con Xunta/universidad)</w:t>
      </w:r>
    </w:p>
    <w:p w14:paraId="6E97558F" w14:textId="77777777" w:rsidR="00C12E92" w:rsidRPr="00C12E92" w:rsidRDefault="00C12E92" w:rsidP="00C12E92">
      <w:p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b/>
          <w:bCs/>
          <w:kern w:val="0"/>
          <w14:ligatures w14:val="none"/>
        </w:rPr>
        <w:t>9. Bibliografía</w:t>
      </w:r>
    </w:p>
    <w:p w14:paraId="3EBA4C88" w14:textId="77777777" w:rsidR="00C12E92" w:rsidRPr="00C12E92" w:rsidRDefault="00C12E92" w:rsidP="00C12E92">
      <w:p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b/>
          <w:bCs/>
          <w:kern w:val="0"/>
          <w14:ligatures w14:val="none"/>
        </w:rPr>
        <w:t>Anexos</w:t>
      </w:r>
    </w:p>
    <w:p w14:paraId="0C16C15F" w14:textId="77777777" w:rsidR="00C12E92" w:rsidRPr="00C12E92" w:rsidRDefault="00C12E92" w:rsidP="00C12E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A. Manual de despliegue</w:t>
      </w:r>
    </w:p>
    <w:p w14:paraId="60050352" w14:textId="77777777" w:rsidR="00C12E92" w:rsidRPr="00C12E92" w:rsidRDefault="00C12E92" w:rsidP="00C12E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B. Corpus de datos utilizado (muestra)</w:t>
      </w:r>
    </w:p>
    <w:p w14:paraId="3B5D4844" w14:textId="77777777" w:rsidR="00C12E92" w:rsidRPr="00C12E92" w:rsidRDefault="00C12E92" w:rsidP="00C12E9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12E92">
        <w:rPr>
          <w:rFonts w:ascii="Times New Roman" w:eastAsia="Times New Roman" w:hAnsi="Times New Roman" w:cs="Times New Roman"/>
          <w:kern w:val="0"/>
          <w14:ligatures w14:val="none"/>
        </w:rPr>
        <w:t>C. Código relevante / repositorio</w:t>
      </w:r>
    </w:p>
    <w:p w14:paraId="558AE0A3" w14:textId="77777777" w:rsidR="00C12E92" w:rsidRDefault="00C12E92"/>
    <w:p w14:paraId="2A4CB792" w14:textId="77777777" w:rsidR="00CC2EE3" w:rsidRDefault="00CC2EE3"/>
    <w:p w14:paraId="7DD92BC6" w14:textId="77777777" w:rsidR="00CC2EE3" w:rsidRDefault="00CC2EE3"/>
    <w:p w14:paraId="06A73CC2" w14:textId="77777777" w:rsidR="00CC2EE3" w:rsidRDefault="00CC2EE3"/>
    <w:p w14:paraId="24130E56" w14:textId="77777777" w:rsidR="00CC2EE3" w:rsidRDefault="00CC2EE3"/>
    <w:p w14:paraId="19709913" w14:textId="77777777" w:rsidR="00CC2EE3" w:rsidRDefault="00CC2EE3"/>
    <w:p w14:paraId="5DBCF255" w14:textId="77777777" w:rsidR="00CC2EE3" w:rsidRDefault="00CC2EE3"/>
    <w:p w14:paraId="0FB2510D" w14:textId="77777777" w:rsidR="007037A0" w:rsidRPr="007037A0" w:rsidRDefault="007037A0" w:rsidP="007037A0">
      <w:pPr>
        <w:jc w:val="both"/>
        <w:rPr>
          <w:b/>
          <w:bCs/>
        </w:rPr>
      </w:pPr>
      <w:r w:rsidRPr="007037A0">
        <w:rPr>
          <w:b/>
          <w:bCs/>
        </w:rPr>
        <w:t>1. Introducción</w:t>
      </w:r>
    </w:p>
    <w:p w14:paraId="46DC21BC" w14:textId="77777777" w:rsidR="007037A0" w:rsidRPr="007037A0" w:rsidRDefault="007037A0" w:rsidP="007037A0">
      <w:pPr>
        <w:jc w:val="both"/>
        <w:rPr>
          <w:b/>
          <w:bCs/>
        </w:rPr>
      </w:pPr>
      <w:r w:rsidRPr="007037A0">
        <w:rPr>
          <w:b/>
          <w:bCs/>
        </w:rPr>
        <w:t>1.1 Motivación y contexto</w:t>
      </w:r>
    </w:p>
    <w:p w14:paraId="0607041D" w14:textId="70E1D19E" w:rsidR="007037A0" w:rsidRPr="007037A0" w:rsidRDefault="007037A0" w:rsidP="007037A0">
      <w:pPr>
        <w:jc w:val="both"/>
      </w:pPr>
      <w:r w:rsidRPr="007037A0">
        <w:t>El idioma gallego, como lengua propia de Galicia, posee una riqueza cultural e histórica invaluable; sin embargo, para los migrantes y residentes no gallegoparlantes existen falencias en la adopción y el estudio del idioma. Es un hecho que el área inicial del aprendizaje los niveles A1-A2, comúnmente asumidos como los más sencillos de abordar</w:t>
      </w:r>
      <w:r>
        <w:t>,</w:t>
      </w:r>
      <w:r w:rsidRPr="007037A0">
        <w:t xml:space="preserve"> es paradójicamente la más desatendida por las plataformas existentes. Enfrentar este reto en el contexto de una lengua minorizada es parte fundamental de este estudio.</w:t>
      </w:r>
    </w:p>
    <w:p w14:paraId="563585B4" w14:textId="77777777" w:rsidR="007037A0" w:rsidRPr="007037A0" w:rsidRDefault="007037A0" w:rsidP="007037A0">
      <w:pPr>
        <w:jc w:val="both"/>
      </w:pPr>
      <w:r w:rsidRPr="007037A0">
        <w:t>En la actualidad, el acceso al autoaprendizaje de idiomas está dominado por plataformas globales de microlearning y gamificación como Duolingo o Babbel. Estas plataformas han democratizado la enseñanza, pero rara vez incluyen lenguas minorizadas en sus catálogos principales, dejando un vacío significativo que puede ser cubierto con este tipo de tecnologías.</w:t>
      </w:r>
    </w:p>
    <w:p w14:paraId="5E573AEE" w14:textId="77777777" w:rsidR="007037A0" w:rsidRPr="007037A0" w:rsidRDefault="007037A0" w:rsidP="007037A0">
      <w:pPr>
        <w:jc w:val="both"/>
      </w:pPr>
      <w:r w:rsidRPr="007037A0">
        <w:t>Más allá de la brecha tecnológica, existe una motivación social profunda para este proyecto. Galicia es una tierra de acogida, y el idioma debe actuar como un puente de integración, no como una barrera. Para los migrantes y residentes no gallegoparlantes, aprender la lengua no es solo un ejercicio académico, sino un paso fundamental hacia el arraigo y el sentido de pertenencia. Nace así la necesidad de una herramienta diseñada para que cualquier persona, e incluso las familias que buscan integrar a sus hijos más pequeños en la cultura local, puedan sentir la lengua y la tierra como propias y no ajenas a la misma.</w:t>
      </w:r>
    </w:p>
    <w:p w14:paraId="537CB5EB" w14:textId="77777777" w:rsidR="007037A0" w:rsidRPr="007037A0" w:rsidRDefault="007037A0" w:rsidP="007037A0">
      <w:pPr>
        <w:jc w:val="both"/>
        <w:rPr>
          <w:b/>
          <w:bCs/>
        </w:rPr>
      </w:pPr>
      <w:r w:rsidRPr="007037A0">
        <w:rPr>
          <w:b/>
          <w:bCs/>
        </w:rPr>
        <w:t>1.2 Problema a resolver</w:t>
      </w:r>
    </w:p>
    <w:p w14:paraId="725BE311" w14:textId="77777777" w:rsidR="007037A0" w:rsidRPr="007037A0" w:rsidRDefault="007037A0" w:rsidP="007037A0">
      <w:pPr>
        <w:jc w:val="both"/>
      </w:pPr>
      <w:r w:rsidRPr="007037A0">
        <w:t>El problema central que aborda este trabajo es la carencia de aplicaciones nativas de aprendizaje de gallego que integren metodologías modernas de retención y gamificación.</w:t>
      </w:r>
    </w:p>
    <w:p w14:paraId="4A22F631" w14:textId="77777777" w:rsidR="007037A0" w:rsidRPr="007037A0" w:rsidRDefault="007037A0" w:rsidP="007037A0">
      <w:pPr>
        <w:jc w:val="both"/>
      </w:pPr>
      <w:r w:rsidRPr="007037A0">
        <w:t>Actualmente, los recursos digitales disponibles para aprender gallego están fragmentados. Existen excelentes herramientas institucionales, diccionarios en línea y aplicaciones de vocabulario estático, pero carecen de una progresión estructurada y de sistemas de retroalimentación activa. Un usuario recién llegado a Galicia que desea aprender el idioma desde cero se encuentra con una curva de entrada pronunciada y árida, sin una aplicación centralizada que le guíe de forma amena, progresiva y adaptativa desde la construcción de sus primeras frases hasta la comprensión de la gramática.</w:t>
      </w:r>
    </w:p>
    <w:p w14:paraId="3A4B88BF" w14:textId="77777777" w:rsidR="007037A0" w:rsidRPr="007037A0" w:rsidRDefault="007037A0" w:rsidP="007037A0">
      <w:pPr>
        <w:jc w:val="both"/>
        <w:rPr>
          <w:b/>
          <w:bCs/>
        </w:rPr>
      </w:pPr>
      <w:r w:rsidRPr="007037A0">
        <w:rPr>
          <w:b/>
          <w:bCs/>
        </w:rPr>
        <w:t>1.3 Objetivos generales y específicos</w:t>
      </w:r>
    </w:p>
    <w:p w14:paraId="7EC9E425" w14:textId="77777777" w:rsidR="007037A0" w:rsidRPr="007037A0" w:rsidRDefault="007037A0" w:rsidP="007037A0">
      <w:pPr>
        <w:jc w:val="both"/>
      </w:pPr>
      <w:r w:rsidRPr="007037A0">
        <w:rPr>
          <w:b/>
          <w:bCs/>
        </w:rPr>
        <w:lastRenderedPageBreak/>
        <w:t>Objetivo general:</w:t>
      </w:r>
      <w:r w:rsidRPr="007037A0">
        <w:t xml:space="preserve"> Diseñar, desarrollar y validar "Galingo", una aplicación móvil gamificada e integral para el aprendizaje del idioma gallego, basada en microaprendizaje (microlearning) y algoritmos de repetición espaciada, orientada a facilitar la inmersión lingüística y cultural de usuarios no gallegoparlantes.</w:t>
      </w:r>
    </w:p>
    <w:p w14:paraId="22425AB3" w14:textId="77777777" w:rsidR="007037A0" w:rsidRPr="007037A0" w:rsidRDefault="007037A0" w:rsidP="007037A0">
      <w:pPr>
        <w:jc w:val="both"/>
      </w:pPr>
      <w:r w:rsidRPr="007037A0">
        <w:rPr>
          <w:b/>
          <w:bCs/>
        </w:rPr>
        <w:t>Objetivos específicos:</w:t>
      </w:r>
    </w:p>
    <w:p w14:paraId="669E5739" w14:textId="77777777" w:rsidR="007037A0" w:rsidRPr="007037A0" w:rsidRDefault="007037A0" w:rsidP="007037A0">
      <w:pPr>
        <w:numPr>
          <w:ilvl w:val="0"/>
          <w:numId w:val="12"/>
        </w:numPr>
        <w:jc w:val="both"/>
      </w:pPr>
      <w:r w:rsidRPr="007037A0">
        <w:rPr>
          <w:b/>
          <w:bCs/>
        </w:rPr>
        <w:t>Diseño de producto y UX/UI:</w:t>
      </w:r>
      <w:r w:rsidRPr="007037A0">
        <w:t xml:space="preserve"> Definir una identidad visual atractiva y un sistema de diseño intuitivo que reduzca la fricción cognitiva del usuario, fomentando el compromiso diario.</w:t>
      </w:r>
    </w:p>
    <w:p w14:paraId="63850982" w14:textId="77777777" w:rsidR="007037A0" w:rsidRPr="007037A0" w:rsidRDefault="007037A0" w:rsidP="007037A0">
      <w:pPr>
        <w:numPr>
          <w:ilvl w:val="0"/>
          <w:numId w:val="12"/>
        </w:numPr>
        <w:jc w:val="both"/>
      </w:pPr>
      <w:r w:rsidRPr="007037A0">
        <w:rPr>
          <w:b/>
          <w:bCs/>
        </w:rPr>
        <w:t>Arquitectura del sistema:</w:t>
      </w:r>
      <w:r w:rsidRPr="007037A0">
        <w:t xml:space="preserve"> Diseñar una arquitectura de software modular y desacoplada que permita la futura escalabilidad del sistema, priorizando en la fase de MVP un despliegue monolítico simple que facilite la gestión de datos de interacción.</w:t>
      </w:r>
    </w:p>
    <w:p w14:paraId="01CABE56" w14:textId="77777777" w:rsidR="007037A0" w:rsidRPr="007037A0" w:rsidRDefault="007037A0" w:rsidP="007037A0">
      <w:pPr>
        <w:numPr>
          <w:ilvl w:val="0"/>
          <w:numId w:val="12"/>
        </w:numPr>
        <w:jc w:val="both"/>
      </w:pPr>
      <w:r w:rsidRPr="007037A0">
        <w:rPr>
          <w:b/>
          <w:bCs/>
        </w:rPr>
        <w:t>Implementación de modelos de aprendizaje:</w:t>
      </w:r>
      <w:r w:rsidRPr="007037A0">
        <w:t xml:space="preserve"> Integrar un motor de repetición espaciada capaz de predecir la curva de olvido del usuario para optimizar la retención de vocabulario y estructuras gramaticales.</w:t>
      </w:r>
    </w:p>
    <w:p w14:paraId="59F49141" w14:textId="77777777" w:rsidR="007037A0" w:rsidRPr="007037A0" w:rsidRDefault="007037A0" w:rsidP="007037A0">
      <w:pPr>
        <w:numPr>
          <w:ilvl w:val="0"/>
          <w:numId w:val="12"/>
        </w:numPr>
        <w:jc w:val="both"/>
      </w:pPr>
      <w:r w:rsidRPr="007037A0">
        <w:rPr>
          <w:b/>
          <w:bCs/>
        </w:rPr>
        <w:t>Desarrollo de un MVP (Producto Mínimo Viable):</w:t>
      </w:r>
      <w:r w:rsidRPr="007037A0">
        <w:t xml:space="preserve"> Construir los módulos principales de la aplicación, incluyendo rutas de aprendizaje progresivas y herramientas de consulta.</w:t>
      </w:r>
    </w:p>
    <w:p w14:paraId="1675444F" w14:textId="77777777" w:rsidR="007037A0" w:rsidRPr="007037A0" w:rsidRDefault="007037A0" w:rsidP="007037A0">
      <w:pPr>
        <w:numPr>
          <w:ilvl w:val="0"/>
          <w:numId w:val="12"/>
        </w:numPr>
        <w:jc w:val="both"/>
      </w:pPr>
      <w:r w:rsidRPr="007037A0">
        <w:rPr>
          <w:b/>
          <w:bCs/>
        </w:rPr>
        <w:t>Validación:</w:t>
      </w:r>
      <w:r w:rsidRPr="007037A0">
        <w:t xml:space="preserve"> Evaluar el rendimiento del sistema y la respuesta de los usuarios beta para medir la eficacia del algoritmo de predicción de memoria frente a los modelos clásicos.</w:t>
      </w:r>
    </w:p>
    <w:p w14:paraId="2BCA3F13" w14:textId="77777777" w:rsidR="007037A0" w:rsidRPr="007037A0" w:rsidRDefault="007037A0" w:rsidP="007037A0">
      <w:pPr>
        <w:jc w:val="both"/>
        <w:rPr>
          <w:b/>
          <w:bCs/>
        </w:rPr>
      </w:pPr>
      <w:r w:rsidRPr="007037A0">
        <w:rPr>
          <w:b/>
          <w:bCs/>
        </w:rPr>
        <w:t>1.4 Estructura de la memoria</w:t>
      </w:r>
    </w:p>
    <w:p w14:paraId="08E29479" w14:textId="77777777" w:rsidR="007037A0" w:rsidRPr="007037A0" w:rsidRDefault="007037A0" w:rsidP="007037A0">
      <w:pPr>
        <w:jc w:val="both"/>
      </w:pPr>
      <w:r w:rsidRPr="007037A0">
        <w:t>Para dar respuesta a los objetivos planteados, el presente documento se estructura de la siguiente manera:</w:t>
      </w:r>
    </w:p>
    <w:p w14:paraId="77668DE4" w14:textId="77777777" w:rsidR="007037A0" w:rsidRPr="007037A0" w:rsidRDefault="007037A0" w:rsidP="007037A0">
      <w:pPr>
        <w:numPr>
          <w:ilvl w:val="0"/>
          <w:numId w:val="13"/>
        </w:numPr>
        <w:jc w:val="both"/>
      </w:pPr>
      <w:r w:rsidRPr="007037A0">
        <w:t xml:space="preserve">El </w:t>
      </w:r>
      <w:r w:rsidRPr="007037A0">
        <w:rPr>
          <w:b/>
          <w:bCs/>
        </w:rPr>
        <w:t>Capítulo 1 (Introducción)</w:t>
      </w:r>
      <w:r w:rsidRPr="007037A0">
        <w:t xml:space="preserve"> presenta la motivación social y técnica del proyecto, contextualiza la necesidad de herramientas de integración lingüística para el gallego y define el problema, así como los objetivos generales y específicos que persigue este trabajo.</w:t>
      </w:r>
    </w:p>
    <w:p w14:paraId="345E5CEA" w14:textId="77777777" w:rsidR="007037A0" w:rsidRPr="007037A0" w:rsidRDefault="007037A0" w:rsidP="007037A0">
      <w:pPr>
        <w:numPr>
          <w:ilvl w:val="0"/>
          <w:numId w:val="13"/>
        </w:numPr>
        <w:jc w:val="both"/>
      </w:pPr>
      <w:r w:rsidRPr="007037A0">
        <w:t xml:space="preserve">El </w:t>
      </w:r>
      <w:r w:rsidRPr="007037A0">
        <w:rPr>
          <w:b/>
          <w:bCs/>
        </w:rPr>
        <w:t>Capítulo 2 (Estado del arte)</w:t>
      </w:r>
      <w:r w:rsidRPr="007037A0">
        <w:t xml:space="preserve"> revisa la literatura y las soluciones existentes en el ámbito del microlearning, analizando comparativamente plataformas líderes y estudiando la evolución de los algoritmos de repetición espaciada, así como los recursos de Procesamiento de Lenguaje Natural (PLN) disponibles para el gallego.</w:t>
      </w:r>
    </w:p>
    <w:p w14:paraId="231F44DE" w14:textId="77777777" w:rsidR="007037A0" w:rsidRPr="007037A0" w:rsidRDefault="007037A0" w:rsidP="007037A0">
      <w:pPr>
        <w:numPr>
          <w:ilvl w:val="0"/>
          <w:numId w:val="13"/>
        </w:numPr>
        <w:jc w:val="both"/>
      </w:pPr>
      <w:r w:rsidRPr="007037A0">
        <w:t xml:space="preserve">El </w:t>
      </w:r>
      <w:r w:rsidRPr="007037A0">
        <w:rPr>
          <w:b/>
          <w:bCs/>
        </w:rPr>
        <w:t>Capítulo 3 (Objetivos y alcance)</w:t>
      </w:r>
      <w:r w:rsidRPr="007037A0">
        <w:t xml:space="preserve"> detalla con precisión las metas técnicas del MVP, sus limitaciones asumidas y plantea las preguntas de investigación que guiarán la validación del modelo.</w:t>
      </w:r>
    </w:p>
    <w:p w14:paraId="01A1B38C" w14:textId="77777777" w:rsidR="007037A0" w:rsidRPr="007037A0" w:rsidRDefault="007037A0" w:rsidP="007037A0">
      <w:pPr>
        <w:numPr>
          <w:ilvl w:val="0"/>
          <w:numId w:val="13"/>
        </w:numPr>
        <w:jc w:val="both"/>
      </w:pPr>
      <w:r w:rsidRPr="007037A0">
        <w:lastRenderedPageBreak/>
        <w:t xml:space="preserve">El </w:t>
      </w:r>
      <w:r w:rsidRPr="007037A0">
        <w:rPr>
          <w:b/>
          <w:bCs/>
        </w:rPr>
        <w:t>Capítulo 4 (Diseño del sistema)</w:t>
      </w:r>
      <w:r w:rsidRPr="007037A0">
        <w:t xml:space="preserve"> expone la arquitectura general de la solución, el diseño de la base de datos, las decisiones del stack tecnológico y la concepción de la identidad visual e interfaz.</w:t>
      </w:r>
    </w:p>
    <w:p w14:paraId="3371AC7F" w14:textId="77777777" w:rsidR="007037A0" w:rsidRPr="007037A0" w:rsidRDefault="007037A0" w:rsidP="007037A0">
      <w:pPr>
        <w:numPr>
          <w:ilvl w:val="0"/>
          <w:numId w:val="13"/>
        </w:numPr>
        <w:jc w:val="both"/>
      </w:pPr>
      <w:r w:rsidRPr="007037A0">
        <w:t xml:space="preserve">El </w:t>
      </w:r>
      <w:r w:rsidRPr="007037A0">
        <w:rPr>
          <w:b/>
          <w:bCs/>
        </w:rPr>
        <w:t>Capítulo 5 (Metodología)</w:t>
      </w:r>
      <w:r w:rsidRPr="007037A0">
        <w:t xml:space="preserve"> describe los procedimientos de recolección de datos lingüísticos y de interacción, así como la definición de la línea base para evaluar el rendimiento del motor de aprendizaje frente al modelo propuesto.</w:t>
      </w:r>
    </w:p>
    <w:p w14:paraId="2AF3452D" w14:textId="77777777" w:rsidR="007037A0" w:rsidRPr="007037A0" w:rsidRDefault="007037A0" w:rsidP="007037A0">
      <w:pPr>
        <w:numPr>
          <w:ilvl w:val="0"/>
          <w:numId w:val="13"/>
        </w:numPr>
        <w:jc w:val="both"/>
      </w:pPr>
      <w:r w:rsidRPr="007037A0">
        <w:t xml:space="preserve">El </w:t>
      </w:r>
      <w:r w:rsidRPr="007037A0">
        <w:rPr>
          <w:b/>
          <w:bCs/>
        </w:rPr>
        <w:t>Capítulo 6 (Desarrollo e implementación)</w:t>
      </w:r>
      <w:r w:rsidRPr="007037A0">
        <w:t xml:space="preserve"> documenta el proceso de construcción del backend, el frontend y la integración del modelo de predicción de olvido dentro del flujo de producción de la aplicación.</w:t>
      </w:r>
    </w:p>
    <w:p w14:paraId="51B1A7CD" w14:textId="77777777" w:rsidR="007037A0" w:rsidRPr="007037A0" w:rsidRDefault="007037A0" w:rsidP="007037A0">
      <w:pPr>
        <w:numPr>
          <w:ilvl w:val="0"/>
          <w:numId w:val="13"/>
        </w:numPr>
        <w:jc w:val="both"/>
      </w:pPr>
      <w:r w:rsidRPr="007037A0">
        <w:t xml:space="preserve">El </w:t>
      </w:r>
      <w:r w:rsidRPr="007037A0">
        <w:rPr>
          <w:b/>
          <w:bCs/>
        </w:rPr>
        <w:t>Capítulo 7 (Resultados y evaluación)</w:t>
      </w:r>
      <w:r w:rsidRPr="007037A0">
        <w:t xml:space="preserve"> presenta los resultados cuantitativos del modelo frente a la línea base, junto con la evaluación cualitativa obtenida de los usuarios beta.</w:t>
      </w:r>
    </w:p>
    <w:p w14:paraId="277F3A81" w14:textId="77777777" w:rsidR="007037A0" w:rsidRPr="007037A0" w:rsidRDefault="007037A0" w:rsidP="007037A0">
      <w:pPr>
        <w:numPr>
          <w:ilvl w:val="0"/>
          <w:numId w:val="13"/>
        </w:numPr>
        <w:jc w:val="both"/>
      </w:pPr>
      <w:r w:rsidRPr="007037A0">
        <w:t xml:space="preserve">El </w:t>
      </w:r>
      <w:r w:rsidRPr="007037A0">
        <w:rPr>
          <w:b/>
          <w:bCs/>
        </w:rPr>
        <w:t>Capítulo 8 (Conclusiones y trabajo futuro)</w:t>
      </w:r>
      <w:r w:rsidRPr="007037A0">
        <w:t xml:space="preserve"> resume las aportaciones del trabajo respecto a los objetivos planteados y propone líneas de desarrollo futuras, como la ampliación del corpus lingüístico y la ampliación del motor de conjugación a formas irregulares.</w:t>
      </w:r>
    </w:p>
    <w:p w14:paraId="56F42C9F" w14:textId="77777777" w:rsidR="007037A0" w:rsidRPr="007037A0" w:rsidRDefault="007037A0" w:rsidP="007037A0">
      <w:pPr>
        <w:numPr>
          <w:ilvl w:val="0"/>
          <w:numId w:val="13"/>
        </w:numPr>
        <w:jc w:val="both"/>
      </w:pPr>
      <w:r w:rsidRPr="007037A0">
        <w:t xml:space="preserve">El </w:t>
      </w:r>
      <w:r w:rsidRPr="007037A0">
        <w:rPr>
          <w:b/>
          <w:bCs/>
        </w:rPr>
        <w:t>Capítulo 9 (Bibliografía)</w:t>
      </w:r>
      <w:r w:rsidRPr="007037A0">
        <w:t xml:space="preserve"> recoge las referencias académicas y técnicas empleadas a lo largo del documento.</w:t>
      </w:r>
    </w:p>
    <w:p w14:paraId="1686B177" w14:textId="77777777" w:rsidR="00D10654" w:rsidRPr="00D10654" w:rsidRDefault="00D10654" w:rsidP="00D10654">
      <w:pPr>
        <w:jc w:val="both"/>
        <w:rPr>
          <w:b/>
          <w:bCs/>
        </w:rPr>
      </w:pPr>
      <w:r w:rsidRPr="00D10654">
        <w:rPr>
          <w:b/>
          <w:bCs/>
        </w:rPr>
        <w:t>2. Estado del arte</w:t>
      </w:r>
    </w:p>
    <w:p w14:paraId="4852E045" w14:textId="77777777" w:rsidR="00D10654" w:rsidRPr="00D10654" w:rsidRDefault="00D10654" w:rsidP="00D10654">
      <w:pPr>
        <w:jc w:val="both"/>
        <w:rPr>
          <w:b/>
          <w:bCs/>
        </w:rPr>
      </w:pPr>
      <w:r w:rsidRPr="00D10654">
        <w:rPr>
          <w:b/>
          <w:bCs/>
        </w:rPr>
        <w:t>2.1 Sistemas de microlearning y gamificación en aprendizaje de idiomas</w:t>
      </w:r>
    </w:p>
    <w:p w14:paraId="2E72A031" w14:textId="77777777" w:rsidR="00D10654" w:rsidRPr="00D10654" w:rsidRDefault="00D10654" w:rsidP="00D10654">
      <w:pPr>
        <w:jc w:val="both"/>
      </w:pPr>
      <w:r w:rsidRPr="00D10654">
        <w:t>Las plataformas de aprendizaje de idiomas basadas en microlearning han transformado la forma en que millones de personas se acercan a una lengua nueva. Duolingo, la plataforma de referencia del sector, estructura el aprendizaje en lecciones breves, secuenciadas y reforzadas mediante mecánicas de juego (rachas, puntos de experiencia, vidas), diseñadas para maximizar el compromiso diario del usuario más que la profundidad gramatical de cada sesión. Babbel, por su parte, adopta un enfoque algo más conversacional y estructurado por niveles del Marco Común Europeo de Referencia (MCER), priorizando diálogos contextualizados frente a la repetición aislada de vocabulario.</w:t>
      </w:r>
    </w:p>
    <w:p w14:paraId="7E784B91" w14:textId="77777777" w:rsidR="00D10654" w:rsidRPr="00D10654" w:rsidRDefault="00D10654" w:rsidP="00D10654">
      <w:pPr>
        <w:jc w:val="both"/>
      </w:pPr>
      <w:r w:rsidRPr="00D10654">
        <w:t>Ambas plataformas comparten una limitación relevante para este trabajo: su catálogo de idiomas está determinado por el tamaño de mercado potencial, lo que sistemáticamente excluye lenguas minorizadas como el gallego, el euskera o el catalán de sus ofertas principales. Esto ha dejado el desarrollo de herramientas de este tipo en manos de iniciativas institucionales o académicas, generalmente sin la sofisticación técnica ni la capa de gamificación que sí tienen los productos comerciales globales. Esta brecha —entre la calidad de producto de las plataformas comerciales y la disponibilidad de idiomas minorizados— es el espacio concreto que este trabajo busca ocupar.</w:t>
      </w:r>
    </w:p>
    <w:p w14:paraId="430E527F" w14:textId="77777777" w:rsidR="00D10654" w:rsidRDefault="00D10654" w:rsidP="00D10654">
      <w:pPr>
        <w:jc w:val="both"/>
        <w:rPr>
          <w:b/>
          <w:bCs/>
        </w:rPr>
      </w:pPr>
    </w:p>
    <w:p w14:paraId="165A59FD" w14:textId="77777777" w:rsidR="00D10654" w:rsidRDefault="00D10654" w:rsidP="00D10654">
      <w:pPr>
        <w:jc w:val="both"/>
        <w:rPr>
          <w:b/>
          <w:bCs/>
        </w:rPr>
      </w:pPr>
    </w:p>
    <w:p w14:paraId="67F7FCB9" w14:textId="177FA144" w:rsidR="00D10654" w:rsidRPr="00D10654" w:rsidRDefault="00D10654" w:rsidP="00D10654">
      <w:pPr>
        <w:jc w:val="both"/>
        <w:rPr>
          <w:b/>
          <w:bCs/>
        </w:rPr>
      </w:pPr>
      <w:r w:rsidRPr="00D10654">
        <w:rPr>
          <w:b/>
          <w:bCs/>
        </w:rPr>
        <w:t>2.2 Algoritmos de repetición espaciada: de Leitner y SM-2 a modelos probabilísticos</w:t>
      </w:r>
    </w:p>
    <w:p w14:paraId="2FA73992" w14:textId="77777777" w:rsidR="00D10654" w:rsidRPr="00D10654" w:rsidRDefault="00D10654" w:rsidP="00D10654">
      <w:pPr>
        <w:jc w:val="both"/>
      </w:pPr>
      <w:r w:rsidRPr="00D10654">
        <w:t xml:space="preserve">El fenómeno en el que se apoyan estas plataformas para optimizar la retención es el </w:t>
      </w:r>
      <w:r w:rsidRPr="00D10654">
        <w:rPr>
          <w:i/>
          <w:iCs/>
        </w:rPr>
        <w:t>efecto de espaciado</w:t>
      </w:r>
      <w:r w:rsidRPr="00D10654">
        <w:t xml:space="preserve"> (spacing effect): la evidencia, documentada desde los años sesenta en la investigación sobre adquisición de segundas lenguas, de que la información se retiene mejor cuando su repaso se distribuye en el tiempo en lugar de concentrarse en una sola sesión de estudio.</w:t>
      </w:r>
    </w:p>
    <w:p w14:paraId="3D587340" w14:textId="77777777" w:rsidR="00D10654" w:rsidRPr="00D10654" w:rsidRDefault="00D10654" w:rsidP="00D10654">
      <w:pPr>
        <w:jc w:val="both"/>
      </w:pPr>
      <w:r w:rsidRPr="00D10654">
        <w:t>Los primeros sistemas que operacionalizaron este efecto fueron reglas heurísticas fijas, no modelos entrenados con datos:</w:t>
      </w:r>
    </w:p>
    <w:p w14:paraId="054A3698" w14:textId="77777777" w:rsidR="00D10654" w:rsidRPr="00D10654" w:rsidRDefault="00D10654" w:rsidP="00D10654">
      <w:pPr>
        <w:numPr>
          <w:ilvl w:val="0"/>
          <w:numId w:val="14"/>
        </w:numPr>
        <w:jc w:val="both"/>
      </w:pPr>
      <w:r w:rsidRPr="00D10654">
        <w:rPr>
          <w:b/>
          <w:bCs/>
        </w:rPr>
        <w:t>Sistema Leitner (1972):</w:t>
      </w:r>
      <w:r w:rsidRPr="00D10654">
        <w:t xml:space="preserve"> organiza las tarjetas de estudio en cajas; cada acierto promueve la tarjeta a una caja con un intervalo de repaso mayor, y cada fallo la devuelve a la primera caja. Es simple e interpretable, pero no distingue entre usuarios ni entre la dificultad intrínseca de cada ítem.</w:t>
      </w:r>
    </w:p>
    <w:p w14:paraId="0B1D1E9E" w14:textId="77777777" w:rsidR="00D10654" w:rsidRPr="00D10654" w:rsidRDefault="00D10654" w:rsidP="00D10654">
      <w:pPr>
        <w:numPr>
          <w:ilvl w:val="0"/>
          <w:numId w:val="14"/>
        </w:numPr>
        <w:jc w:val="both"/>
      </w:pPr>
      <w:r w:rsidRPr="00D10654">
        <w:rPr>
          <w:b/>
          <w:bCs/>
        </w:rPr>
        <w:t>SM-2 (SuperMemo, Wozniak, 1987):</w:t>
      </w:r>
      <w:r w:rsidRPr="00D10654">
        <w:t xml:space="preserve"> introduce un factor de facilidad (</w:t>
      </w:r>
      <w:r w:rsidRPr="00D10654">
        <w:rPr>
          <w:i/>
          <w:iCs/>
        </w:rPr>
        <w:t>easiness factor</w:t>
      </w:r>
      <w:r w:rsidRPr="00D10654">
        <w:t>) que se ajusta por ítem según el historial de aciertos del usuario, calculando el siguiente intervalo de repaso mediante una fórmula determinista. Es la base de herramientas ampliamente usadas como Anki, y sigue siendo el estándar de facto en aplicaciones de flashcards por su bajo coste computacional.</w:t>
      </w:r>
    </w:p>
    <w:p w14:paraId="772C4C1E" w14:textId="77777777" w:rsidR="00D10654" w:rsidRPr="00D10654" w:rsidRDefault="00D10654" w:rsidP="00D10654">
      <w:pPr>
        <w:jc w:val="both"/>
      </w:pPr>
      <w:r w:rsidRPr="00D10654">
        <w:t>Ambos enfoques comparten una limitación estructural: los parámetros del modelo (intervalos, factores de facilidad) están fijados a priori por el diseñador del sistema, no aprendidos a partir de datos reales de comportamiento de los usuarios. Esto motivó, a partir de la disponibilidad de datos masivos de plataformas de aprendizaje online, el desarrollo de modelos estadísticos entrenables.</w:t>
      </w:r>
    </w:p>
    <w:p w14:paraId="797107FE" w14:textId="77777777" w:rsidR="00D10654" w:rsidRPr="00D10654" w:rsidRDefault="00D10654" w:rsidP="00D10654">
      <w:pPr>
        <w:jc w:val="both"/>
        <w:rPr>
          <w:b/>
          <w:bCs/>
        </w:rPr>
      </w:pPr>
      <w:r w:rsidRPr="00D10654">
        <w:rPr>
          <w:b/>
          <w:bCs/>
        </w:rPr>
        <w:t>2.3 Half-Life Regression y modelos de predicción de memoria/olvido</w:t>
      </w:r>
    </w:p>
    <w:p w14:paraId="004C8719" w14:textId="77777777" w:rsidR="00D10654" w:rsidRPr="00D10654" w:rsidRDefault="00D10654" w:rsidP="00D10654">
      <w:pPr>
        <w:jc w:val="both"/>
      </w:pPr>
      <w:r w:rsidRPr="00D10654">
        <w:t xml:space="preserve">El trabajo de referencia en este ámbito es el modelo de </w:t>
      </w:r>
      <w:r w:rsidRPr="00D10654">
        <w:rPr>
          <w:b/>
          <w:bCs/>
        </w:rPr>
        <w:t>regresión de vida media</w:t>
      </w:r>
      <w:r w:rsidRPr="00D10654">
        <w:t xml:space="preserve"> (</w:t>
      </w:r>
      <w:r w:rsidRPr="00D10654">
        <w:rPr>
          <w:i/>
          <w:iCs/>
        </w:rPr>
        <w:t>Half-Life Regression</w:t>
      </w:r>
      <w:r w:rsidRPr="00D10654">
        <w:t>, HLR), propuesto por Settles y Meeder. los autores proponen HLR como un algoritmo de repetición espaciada entrenable que combina teoría psicolingüística con técnicas modernas de aprendizaje automático (Settles y Meeder, 2016), estimando de forma indirecta la "vida media" de una palabra o concepto en la memoria a largo plazo del estudiante. El modelo se entrenó y evaluó sobre datos reales de Duolingo, logrando una reducción de más del 45% en el error de predicción de la tasa de recuerdo de los estudiantes frente a varios modelos de referencia (Settles y Meeder, 2016), entre ellos el propio sistema Leitner.</w:t>
      </w:r>
    </w:p>
    <w:p w14:paraId="12E78C3F" w14:textId="77777777" w:rsidR="00D10654" w:rsidRPr="00D10654" w:rsidRDefault="00D10654" w:rsidP="00D10654">
      <w:pPr>
        <w:jc w:val="both"/>
      </w:pPr>
      <w:r w:rsidRPr="00D10654">
        <w:lastRenderedPageBreak/>
        <w:t>Más allá de la mejora estadística, el resultado con mayor relevancia práctica del estudio es que la implementación de HLR permitió incrementar el compromiso diario de los estudiantes de Duolingo en un 12% en un estudio operativo real (Settles y Meeder, 2016), lo que confirma que la calidad del modelo de predicción de olvido tiene un impacto directo y medible sobre la retención de usuarios de la aplicación —no solo sobre la precisión académica del modelo.</w:t>
      </w:r>
    </w:p>
    <w:p w14:paraId="57FC0F46" w14:textId="77777777" w:rsidR="00D10654" w:rsidRPr="00D10654" w:rsidRDefault="00D10654" w:rsidP="00D10654">
      <w:pPr>
        <w:jc w:val="both"/>
      </w:pPr>
      <w:r w:rsidRPr="00D10654">
        <w:t>Trabajos posteriores han extendido esta línea. Por ejemplo, investigaciones sobre curvas de olvido adaptativas han modificado el modelo HLR original entrenando y evaluando variantes de sus características sobre el conjunto de datos de repetición espaciada de Duolingo, filtrado para estudiantes de inglés, explorando representaciones adicionales del historial de interacción del usuario más allá de las variables léxicas y de tiempo transcurrido usadas en el modelo original.</w:t>
      </w:r>
    </w:p>
    <w:p w14:paraId="7BE2D616" w14:textId="77777777" w:rsidR="00D10654" w:rsidRPr="00D10654" w:rsidRDefault="00D10654" w:rsidP="00D10654">
      <w:pPr>
        <w:jc w:val="both"/>
      </w:pPr>
      <w:r w:rsidRPr="00D10654">
        <w:t>Para este TFM, HLR (y sus variantes) constituye la referencia metodológica directa: el objetivo específico de "implementación de modelos de aprendizaje" definido en el Capítulo 1 se plantea como una adaptación de este enfoque —un modelo entrenado con datos de interacción propios de los usuarios de Galingo— evaluado frente a SM-2 como línea base clásica.</w:t>
      </w:r>
    </w:p>
    <w:p w14:paraId="483BFE5B" w14:textId="77777777" w:rsidR="00D10654" w:rsidRPr="00D10654" w:rsidRDefault="00D10654" w:rsidP="00D10654">
      <w:pPr>
        <w:jc w:val="both"/>
        <w:rPr>
          <w:b/>
          <w:bCs/>
        </w:rPr>
      </w:pPr>
      <w:r w:rsidRPr="00D10654">
        <w:rPr>
          <w:b/>
          <w:bCs/>
        </w:rPr>
        <w:t>2.4 Recursos de PLN para lenguas de bajo recurso: el caso del gallego</w:t>
      </w:r>
    </w:p>
    <w:p w14:paraId="4099C658" w14:textId="77777777" w:rsidR="00D10654" w:rsidRPr="00D10654" w:rsidRDefault="00D10654" w:rsidP="00D10654">
      <w:pPr>
        <w:jc w:val="both"/>
      </w:pPr>
      <w:r w:rsidRPr="00D10654">
        <w:t>El desarrollo de herramientas de Procesamiento del Lenguaje Natural (PLN) para el gallego enfrenta las limitaciones típicas de una lengua de bajo recurso computacional: corpus de menor tamaño que los de lenguas mayoritarias y una comunidad investigadora más reducida, aunque activa.</w:t>
      </w:r>
    </w:p>
    <w:p w14:paraId="665AFD47" w14:textId="77777777" w:rsidR="00D10654" w:rsidRPr="00D10654" w:rsidRDefault="00D10654" w:rsidP="00D10654">
      <w:pPr>
        <w:jc w:val="both"/>
      </w:pPr>
      <w:r w:rsidRPr="00D10654">
        <w:t xml:space="preserve">El </w:t>
      </w:r>
      <w:r w:rsidRPr="00D10654">
        <w:rPr>
          <w:b/>
          <w:bCs/>
        </w:rPr>
        <w:t>Instituto da Lingua Galega (ILG)</w:t>
      </w:r>
      <w:r w:rsidRPr="00D10654">
        <w:t xml:space="preserve">, de la Universidad de Santiago de Compostela, mantiene varias líneas de trabajo relevantes para este proyecto. Entre sus recursos destaca </w:t>
      </w:r>
      <w:r w:rsidRPr="00D10654">
        <w:rPr>
          <w:b/>
          <w:bCs/>
        </w:rPr>
        <w:t>CORILGA</w:t>
      </w:r>
      <w:r w:rsidRPr="00D10654">
        <w:t xml:space="preserve"> (Corpus Oral Informatizado da Lingua Galega), un corpus oral con transcripciones ortográfica y fonética, alineadas con el archivo de voz correspondiente y anotadas en distintos niveles fonético, gramatical, textual y temático (Instituto da Lingua Galega, s.f.) — un recurso potencialmente valioso para la sección de inmersión auditiva planteada en el diseño de Galingo ("A Praza"). El ILG también impulsa líneas de interoperabilidad entre recursos existentes para el gallego, como diccionarios electrónicos y distintos corpus, orientadas a la generación automática de lenguaje natural a partir de patrones sintáctico-semánticos (Instituto da Lingua Galega, s.f.), incluyendo herramientas de flexión nominal y verbal para el gallego y el portugués.</w:t>
      </w:r>
    </w:p>
    <w:p w14:paraId="4BB3686E" w14:textId="77777777" w:rsidR="00D10654" w:rsidRPr="00D10654" w:rsidRDefault="00D10654" w:rsidP="00D10654">
      <w:pPr>
        <w:jc w:val="both"/>
      </w:pPr>
      <w:r w:rsidRPr="00D10654">
        <w:t xml:space="preserve">En el ámbito de la traducción automática, cabe destacar experiencias como la construcción de un sistema de traducción estadística inglés-gallego a partir de un corpus paralelo inglés-portugués, aprovechando la proximidad lingüística entre el gallego y el portugués normativo (Pichel Campos, s.f.) mediante herramientas de conversión ortográfica entre ambas grafías. Esta estrategia —explotar la cercanía tipológica gallego-portugués para suplir la escasez de recursos nativos del </w:t>
      </w:r>
      <w:r w:rsidRPr="00D10654">
        <w:lastRenderedPageBreak/>
        <w:t>gallego— es una vía metodológica a considerar si el corpus propio de Galingo resulta insuficiente para entrenar el motor de conjugación verbal ("O Laboratorio").</w:t>
      </w:r>
    </w:p>
    <w:p w14:paraId="3CBA236C" w14:textId="77777777" w:rsidR="00D10654" w:rsidRPr="00D10654" w:rsidRDefault="00D10654" w:rsidP="00D10654">
      <w:pPr>
        <w:jc w:val="both"/>
      </w:pPr>
      <w:r w:rsidRPr="00D10654">
        <w:t>En conjunto, el ecosistema de recursos existentes para el gallego es sólido en el ámbito de la documentación lingüística y la investigación académica, pero no se ha traducido, hasta la fecha, en una aplicación de consumo masivo orientada al aprendizaje gamificado del idioma. Esta observación refuerza directamente el problema planteado en el Capítulo 1.</w:t>
      </w:r>
    </w:p>
    <w:p w14:paraId="4BEDA972" w14:textId="77777777" w:rsidR="00D10654" w:rsidRPr="00D10654" w:rsidRDefault="00D10654" w:rsidP="00D10654">
      <w:pPr>
        <w:jc w:val="both"/>
        <w:rPr>
          <w:b/>
          <w:bCs/>
        </w:rPr>
      </w:pPr>
      <w:r w:rsidRPr="00D10654">
        <w:rPr>
          <w:b/>
          <w:bCs/>
        </w:rPr>
        <w:t>2.5 Conclusiones del estado del arte y posicionamiento del trabajo</w:t>
      </w:r>
    </w:p>
    <w:p w14:paraId="778A51A1" w14:textId="77777777" w:rsidR="00D10654" w:rsidRPr="00D10654" w:rsidRDefault="00D10654" w:rsidP="00D10654">
      <w:pPr>
        <w:jc w:val="both"/>
      </w:pPr>
      <w:r w:rsidRPr="00D10654">
        <w:t>De la revisión anterior se extraen tres conclusiones que posicionan a Galingo dentro del panorama descrito:</w:t>
      </w:r>
    </w:p>
    <w:p w14:paraId="106A77D1" w14:textId="77777777" w:rsidR="00D10654" w:rsidRPr="00D10654" w:rsidRDefault="00D10654" w:rsidP="00D10654">
      <w:pPr>
        <w:numPr>
          <w:ilvl w:val="0"/>
          <w:numId w:val="15"/>
        </w:numPr>
        <w:jc w:val="both"/>
      </w:pPr>
      <w:r w:rsidRPr="00D10654">
        <w:t xml:space="preserve">Existe una </w:t>
      </w:r>
      <w:r w:rsidRPr="00D10654">
        <w:rPr>
          <w:b/>
          <w:bCs/>
        </w:rPr>
        <w:t>brecha de producto</w:t>
      </w:r>
      <w:r w:rsidRPr="00D10654">
        <w:t>, no de tecnología de base: las técnicas de gamificación y microlearning están maduras y bien documentadas, pero no se aplican a lenguas minorizadas como el gallego.</w:t>
      </w:r>
    </w:p>
    <w:p w14:paraId="5F8336CF" w14:textId="77777777" w:rsidR="00D10654" w:rsidRPr="00D10654" w:rsidRDefault="00D10654" w:rsidP="00D10654">
      <w:pPr>
        <w:numPr>
          <w:ilvl w:val="0"/>
          <w:numId w:val="15"/>
        </w:numPr>
        <w:jc w:val="both"/>
      </w:pPr>
      <w:r w:rsidRPr="00D10654">
        <w:t xml:space="preserve">Existe una </w:t>
      </w:r>
      <w:r w:rsidRPr="00D10654">
        <w:rPr>
          <w:b/>
          <w:bCs/>
        </w:rPr>
        <w:t>brecha metodológica</w:t>
      </w:r>
      <w:r w:rsidRPr="00D10654">
        <w:t xml:space="preserve"> entre los algoritmos deterministas clásicos (Leitner, SM-2), todavía dominantes en aplicaciones de flashcards, y los modelos entrenables como HLR, cuyo beneficio ha sido demostrado a gran escala pero rara vez implementado fuera de las plataformas comerciales que los originaron.</w:t>
      </w:r>
    </w:p>
    <w:p w14:paraId="47DA91A5" w14:textId="77777777" w:rsidR="00D10654" w:rsidRPr="00D10654" w:rsidRDefault="00D10654" w:rsidP="00D10654">
      <w:pPr>
        <w:numPr>
          <w:ilvl w:val="0"/>
          <w:numId w:val="15"/>
        </w:numPr>
        <w:jc w:val="both"/>
      </w:pPr>
      <w:r w:rsidRPr="00D10654">
        <w:t xml:space="preserve">Existen </w:t>
      </w:r>
      <w:r w:rsidRPr="00D10654">
        <w:rPr>
          <w:b/>
          <w:bCs/>
        </w:rPr>
        <w:t>recursos lingüísticos aprovechables</w:t>
      </w:r>
      <w:r w:rsidRPr="00D10654">
        <w:t xml:space="preserve"> para el gallego (corpus orales, herramientas de flexión, proximidad tipológica con el portugués), pero dispersos y sin integración previa en un producto de microlearning.</w:t>
      </w:r>
    </w:p>
    <w:p w14:paraId="00CADBA9" w14:textId="4A92A108" w:rsidR="00D10654" w:rsidRDefault="00D10654" w:rsidP="00D10654">
      <w:pPr>
        <w:jc w:val="both"/>
      </w:pPr>
      <w:r w:rsidRPr="00D10654">
        <w:t>Galingo se posiciona en la intersección de estas tres brechas: aplica una metodología de predicción de olvido entrenada con datos (en la línea de HLR) a un idioma sin cobertura en las plataformas comerciales, apoyándose en los recursos lingüísticos existentes del ecosistema académico gallego descrito en esta sección.</w:t>
      </w:r>
    </w:p>
    <w:p w14:paraId="72E3AC3A" w14:textId="77777777" w:rsidR="00D10654" w:rsidRDefault="00D10654" w:rsidP="00D10654">
      <w:pPr>
        <w:jc w:val="both"/>
      </w:pPr>
    </w:p>
    <w:p w14:paraId="47F9F3D1" w14:textId="77777777" w:rsidR="00D10654" w:rsidRDefault="00D10654" w:rsidP="00D10654">
      <w:pPr>
        <w:jc w:val="both"/>
      </w:pPr>
    </w:p>
    <w:p w14:paraId="6050059B" w14:textId="77777777" w:rsidR="00D10654" w:rsidRDefault="00D10654" w:rsidP="00D10654">
      <w:pPr>
        <w:jc w:val="both"/>
      </w:pPr>
    </w:p>
    <w:p w14:paraId="44DD9899" w14:textId="77777777" w:rsidR="00D10654" w:rsidRDefault="00D10654" w:rsidP="00D10654">
      <w:pPr>
        <w:jc w:val="both"/>
      </w:pPr>
    </w:p>
    <w:p w14:paraId="5B505318" w14:textId="77777777" w:rsidR="00D10654" w:rsidRDefault="00D10654" w:rsidP="00D10654">
      <w:pPr>
        <w:jc w:val="both"/>
      </w:pPr>
    </w:p>
    <w:p w14:paraId="4D825312" w14:textId="77777777" w:rsidR="00D10654" w:rsidRDefault="00D10654" w:rsidP="00D10654">
      <w:pPr>
        <w:jc w:val="both"/>
      </w:pPr>
    </w:p>
    <w:p w14:paraId="3C68B5D4" w14:textId="77777777" w:rsidR="00D10654" w:rsidRDefault="00D10654" w:rsidP="00D10654">
      <w:pPr>
        <w:jc w:val="both"/>
      </w:pPr>
    </w:p>
    <w:p w14:paraId="5DFC4544" w14:textId="77777777" w:rsidR="00D10654" w:rsidRDefault="00D10654" w:rsidP="00D10654">
      <w:pPr>
        <w:jc w:val="both"/>
      </w:pPr>
    </w:p>
    <w:p w14:paraId="676C0236" w14:textId="77777777" w:rsidR="00D10654" w:rsidRDefault="00D10654" w:rsidP="00D10654">
      <w:pPr>
        <w:jc w:val="both"/>
      </w:pPr>
    </w:p>
    <w:p w14:paraId="0098CD36" w14:textId="77777777" w:rsidR="00D10654" w:rsidRDefault="00D10654" w:rsidP="00D10654">
      <w:pPr>
        <w:jc w:val="both"/>
      </w:pPr>
    </w:p>
    <w:p w14:paraId="3EFE81D4" w14:textId="77777777" w:rsidR="00D10654" w:rsidRDefault="00D10654" w:rsidP="00D10654">
      <w:pPr>
        <w:jc w:val="both"/>
      </w:pPr>
    </w:p>
    <w:p w14:paraId="324D9DB2" w14:textId="77777777" w:rsidR="00D10654" w:rsidRPr="00D10654" w:rsidRDefault="00D10654" w:rsidP="00D10654">
      <w:pPr>
        <w:jc w:val="both"/>
      </w:pPr>
    </w:p>
    <w:p w14:paraId="0159A48F" w14:textId="2A2656C7" w:rsidR="00D10654" w:rsidRPr="00D10654" w:rsidRDefault="00D10654" w:rsidP="00D10654">
      <w:pPr>
        <w:jc w:val="both"/>
        <w:rPr>
          <w:b/>
          <w:bCs/>
        </w:rPr>
      </w:pPr>
      <w:r w:rsidRPr="00D10654">
        <w:rPr>
          <w:b/>
          <w:bCs/>
        </w:rPr>
        <w:t>Referencias citadas en</w:t>
      </w:r>
      <w:r>
        <w:rPr>
          <w:b/>
          <w:bCs/>
        </w:rPr>
        <w:t xml:space="preserve"> el </w:t>
      </w:r>
      <w:r w:rsidRPr="00D10654">
        <w:rPr>
          <w:b/>
          <w:bCs/>
        </w:rPr>
        <w:t xml:space="preserve">capítulo </w:t>
      </w:r>
      <w:r>
        <w:rPr>
          <w:b/>
          <w:bCs/>
        </w:rPr>
        <w:t xml:space="preserve">2 </w:t>
      </w:r>
      <w:r w:rsidRPr="00D10654">
        <w:rPr>
          <w:b/>
          <w:bCs/>
        </w:rPr>
        <w:t>(para incorporar al Capítulo 9 — Bibliografía)</w:t>
      </w:r>
    </w:p>
    <w:p w14:paraId="670AC456" w14:textId="77777777" w:rsidR="00D10654" w:rsidRPr="00D10654" w:rsidRDefault="00D10654" w:rsidP="00D10654">
      <w:pPr>
        <w:numPr>
          <w:ilvl w:val="0"/>
          <w:numId w:val="16"/>
        </w:numPr>
        <w:jc w:val="both"/>
      </w:pPr>
      <w:r w:rsidRPr="00D10654">
        <w:t xml:space="preserve">Settles, B. y Meeder, B. (2016). </w:t>
      </w:r>
      <w:r w:rsidRPr="00D10654">
        <w:rPr>
          <w:i/>
          <w:iCs/>
        </w:rPr>
        <w:t>A Trainable Spaced Repetition Model for Language Learning</w:t>
      </w:r>
      <w:r w:rsidRPr="00D10654">
        <w:t>. Proceedings of the 54th Annual Meeting of the Association for Computational Linguistics (ACL), pp. 1848-1858.</w:t>
      </w:r>
    </w:p>
    <w:p w14:paraId="231AFA09" w14:textId="77777777" w:rsidR="00D10654" w:rsidRPr="00D10654" w:rsidRDefault="00D10654" w:rsidP="00D10654">
      <w:pPr>
        <w:numPr>
          <w:ilvl w:val="0"/>
          <w:numId w:val="16"/>
        </w:numPr>
        <w:jc w:val="both"/>
      </w:pPr>
      <w:r w:rsidRPr="00D10654">
        <w:t xml:space="preserve">Wozniak, P. A. (1990). </w:t>
      </w:r>
      <w:r w:rsidRPr="00D10654">
        <w:rPr>
          <w:i/>
          <w:iCs/>
        </w:rPr>
        <w:t>Optimization of learning</w:t>
      </w:r>
      <w:r w:rsidRPr="00D10654">
        <w:t xml:space="preserve"> (algoritmo SM-2, SuperMemo).</w:t>
      </w:r>
    </w:p>
    <w:p w14:paraId="5CF6EDE1" w14:textId="77777777" w:rsidR="00D10654" w:rsidRPr="00D10654" w:rsidRDefault="00D10654" w:rsidP="00D10654">
      <w:pPr>
        <w:numPr>
          <w:ilvl w:val="0"/>
          <w:numId w:val="16"/>
        </w:numPr>
        <w:jc w:val="both"/>
      </w:pPr>
      <w:r w:rsidRPr="00D10654">
        <w:t>Instituto da Lingua Galega (ILG), Universidad de Santiago de Compostela. Proyectos: CORILGA (Corpus Oral Informatizado da Lingua Galega); Interoperabilidad de recursos y producción automática de lenguaje natural. Disponible en: https://ilg.usc.gal</w:t>
      </w:r>
    </w:p>
    <w:p w14:paraId="0810BCF0" w14:textId="77777777" w:rsidR="00D10654" w:rsidRPr="00D10654" w:rsidRDefault="00D10654" w:rsidP="00D10654">
      <w:pPr>
        <w:numPr>
          <w:ilvl w:val="0"/>
          <w:numId w:val="16"/>
        </w:numPr>
        <w:jc w:val="both"/>
      </w:pPr>
      <w:r w:rsidRPr="00D10654">
        <w:t xml:space="preserve">Pichel Campos, J. C. </w:t>
      </w:r>
      <w:r w:rsidRPr="00D10654">
        <w:rPr>
          <w:i/>
          <w:iCs/>
        </w:rPr>
        <w:t>Carvalho: Un sistema de traducción estadística inglés-galego construído a partir del corpus paralelo inglés-portugués EuroParl</w:t>
      </w:r>
      <w:r w:rsidRPr="00D10654">
        <w:t>. Procesamiento del Lenguaje Natural, SEPLN.</w:t>
      </w:r>
    </w:p>
    <w:p w14:paraId="68DDE06E" w14:textId="76C174AD" w:rsidR="00CC2EE3" w:rsidRDefault="00CC2EE3" w:rsidP="007037A0">
      <w:pPr>
        <w:jc w:val="both"/>
      </w:pPr>
    </w:p>
    <w:sectPr w:rsidR="00CC2E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F0487F"/>
    <w:multiLevelType w:val="multilevel"/>
    <w:tmpl w:val="0AC21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87964"/>
    <w:multiLevelType w:val="multilevel"/>
    <w:tmpl w:val="836C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D300B"/>
    <w:multiLevelType w:val="multilevel"/>
    <w:tmpl w:val="A1F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1407EC"/>
    <w:multiLevelType w:val="multilevel"/>
    <w:tmpl w:val="408A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77810"/>
    <w:multiLevelType w:val="multilevel"/>
    <w:tmpl w:val="8E88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5584E"/>
    <w:multiLevelType w:val="multilevel"/>
    <w:tmpl w:val="E3B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B248F"/>
    <w:multiLevelType w:val="multilevel"/>
    <w:tmpl w:val="6064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26E9F"/>
    <w:multiLevelType w:val="multilevel"/>
    <w:tmpl w:val="2D6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C21CB1"/>
    <w:multiLevelType w:val="multilevel"/>
    <w:tmpl w:val="DC6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9E185C"/>
    <w:multiLevelType w:val="multilevel"/>
    <w:tmpl w:val="6216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815B7"/>
    <w:multiLevelType w:val="multilevel"/>
    <w:tmpl w:val="9348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5244F4"/>
    <w:multiLevelType w:val="multilevel"/>
    <w:tmpl w:val="1AF48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65C91"/>
    <w:multiLevelType w:val="multilevel"/>
    <w:tmpl w:val="FAFC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561071"/>
    <w:multiLevelType w:val="multilevel"/>
    <w:tmpl w:val="F5C8C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167F00"/>
    <w:multiLevelType w:val="multilevel"/>
    <w:tmpl w:val="CD6E8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AA3AA2"/>
    <w:multiLevelType w:val="multilevel"/>
    <w:tmpl w:val="4A4A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2836045">
    <w:abstractNumId w:val="9"/>
  </w:num>
  <w:num w:numId="2" w16cid:durableId="1932471869">
    <w:abstractNumId w:val="15"/>
  </w:num>
  <w:num w:numId="3" w16cid:durableId="126971436">
    <w:abstractNumId w:val="5"/>
  </w:num>
  <w:num w:numId="4" w16cid:durableId="536552618">
    <w:abstractNumId w:val="12"/>
  </w:num>
  <w:num w:numId="5" w16cid:durableId="1612201321">
    <w:abstractNumId w:val="10"/>
  </w:num>
  <w:num w:numId="6" w16cid:durableId="752507467">
    <w:abstractNumId w:val="8"/>
  </w:num>
  <w:num w:numId="7" w16cid:durableId="1915312270">
    <w:abstractNumId w:val="11"/>
  </w:num>
  <w:num w:numId="8" w16cid:durableId="760182042">
    <w:abstractNumId w:val="1"/>
  </w:num>
  <w:num w:numId="9" w16cid:durableId="1720126794">
    <w:abstractNumId w:val="4"/>
  </w:num>
  <w:num w:numId="10" w16cid:durableId="379944889">
    <w:abstractNumId w:val="2"/>
  </w:num>
  <w:num w:numId="11" w16cid:durableId="410928489">
    <w:abstractNumId w:val="7"/>
  </w:num>
  <w:num w:numId="12" w16cid:durableId="702705835">
    <w:abstractNumId w:val="14"/>
  </w:num>
  <w:num w:numId="13" w16cid:durableId="34474859">
    <w:abstractNumId w:val="6"/>
  </w:num>
  <w:num w:numId="14" w16cid:durableId="1328704599">
    <w:abstractNumId w:val="13"/>
  </w:num>
  <w:num w:numId="15" w16cid:durableId="405031721">
    <w:abstractNumId w:val="0"/>
  </w:num>
  <w:num w:numId="16" w16cid:durableId="384764541">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E92"/>
    <w:rsid w:val="000275E0"/>
    <w:rsid w:val="00655A73"/>
    <w:rsid w:val="007037A0"/>
    <w:rsid w:val="00BB4112"/>
    <w:rsid w:val="00C12E92"/>
    <w:rsid w:val="00CC2EE3"/>
    <w:rsid w:val="00D10654"/>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9E1DEA"/>
  <w15:chartTrackingRefBased/>
  <w15:docId w15:val="{1313B74F-6172-FC4D-96D8-1739B4F580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E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E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12E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E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E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E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12E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E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E92"/>
    <w:rPr>
      <w:rFonts w:eastAsiaTheme="majorEastAsia" w:cstheme="majorBidi"/>
      <w:color w:val="272727" w:themeColor="text1" w:themeTint="D8"/>
    </w:rPr>
  </w:style>
  <w:style w:type="paragraph" w:styleId="Title">
    <w:name w:val="Title"/>
    <w:basedOn w:val="Normal"/>
    <w:next w:val="Normal"/>
    <w:link w:val="TitleChar"/>
    <w:uiPriority w:val="10"/>
    <w:qFormat/>
    <w:rsid w:val="00C12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E92"/>
    <w:pPr>
      <w:spacing w:before="160"/>
      <w:jc w:val="center"/>
    </w:pPr>
    <w:rPr>
      <w:i/>
      <w:iCs/>
      <w:color w:val="404040" w:themeColor="text1" w:themeTint="BF"/>
    </w:rPr>
  </w:style>
  <w:style w:type="character" w:customStyle="1" w:styleId="QuoteChar">
    <w:name w:val="Quote Char"/>
    <w:basedOn w:val="DefaultParagraphFont"/>
    <w:link w:val="Quote"/>
    <w:uiPriority w:val="29"/>
    <w:rsid w:val="00C12E92"/>
    <w:rPr>
      <w:i/>
      <w:iCs/>
      <w:color w:val="404040" w:themeColor="text1" w:themeTint="BF"/>
    </w:rPr>
  </w:style>
  <w:style w:type="paragraph" w:styleId="ListParagraph">
    <w:name w:val="List Paragraph"/>
    <w:basedOn w:val="Normal"/>
    <w:uiPriority w:val="34"/>
    <w:qFormat/>
    <w:rsid w:val="00C12E92"/>
    <w:pPr>
      <w:ind w:left="720"/>
      <w:contextualSpacing/>
    </w:pPr>
  </w:style>
  <w:style w:type="character" w:styleId="IntenseEmphasis">
    <w:name w:val="Intense Emphasis"/>
    <w:basedOn w:val="DefaultParagraphFont"/>
    <w:uiPriority w:val="21"/>
    <w:qFormat/>
    <w:rsid w:val="00C12E92"/>
    <w:rPr>
      <w:i/>
      <w:iCs/>
      <w:color w:val="2F5496" w:themeColor="accent1" w:themeShade="BF"/>
    </w:rPr>
  </w:style>
  <w:style w:type="paragraph" w:styleId="IntenseQuote">
    <w:name w:val="Intense Quote"/>
    <w:basedOn w:val="Normal"/>
    <w:next w:val="Normal"/>
    <w:link w:val="IntenseQuoteChar"/>
    <w:uiPriority w:val="30"/>
    <w:qFormat/>
    <w:rsid w:val="00C12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E92"/>
    <w:rPr>
      <w:i/>
      <w:iCs/>
      <w:color w:val="2F5496" w:themeColor="accent1" w:themeShade="BF"/>
    </w:rPr>
  </w:style>
  <w:style w:type="character" w:styleId="IntenseReference">
    <w:name w:val="Intense Reference"/>
    <w:basedOn w:val="DefaultParagraphFont"/>
    <w:uiPriority w:val="32"/>
    <w:qFormat/>
    <w:rsid w:val="00C12E92"/>
    <w:rPr>
      <w:b/>
      <w:bCs/>
      <w:smallCaps/>
      <w:color w:val="2F5496" w:themeColor="accent1" w:themeShade="BF"/>
      <w:spacing w:val="5"/>
    </w:rPr>
  </w:style>
  <w:style w:type="paragraph" w:customStyle="1" w:styleId="font-claude-response-body">
    <w:name w:val="font-claude-response-body"/>
    <w:basedOn w:val="Normal"/>
    <w:rsid w:val="00C12E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2E92"/>
    <w:rPr>
      <w:b/>
      <w:bCs/>
    </w:rPr>
  </w:style>
  <w:style w:type="character" w:styleId="Emphasis">
    <w:name w:val="Emphasis"/>
    <w:basedOn w:val="DefaultParagraphFont"/>
    <w:uiPriority w:val="20"/>
    <w:qFormat/>
    <w:rsid w:val="00C12E9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9</Pages>
  <Words>2686</Words>
  <Characters>15316</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Lester Andre Fernandez Cedeño</dc:creator>
  <cp:keywords/>
  <dc:description/>
  <cp:lastModifiedBy>Lester Andre Fernandez Cedeño</cp:lastModifiedBy>
  <cp:revision>1</cp:revision>
  <dcterms:created xsi:type="dcterms:W3CDTF">2026-07-20T09:19:00Z</dcterms:created>
  <dcterms:modified xsi:type="dcterms:W3CDTF">2026-07-20T16:12:00Z</dcterms:modified>
</cp:coreProperties>
</file>