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9EBF" w14:textId="7D940F05" w:rsidR="00492C16" w:rsidRDefault="00492C16" w:rsidP="00492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C16">
        <w:rPr>
          <w:rFonts w:ascii="Times New Roman" w:hAnsi="Times New Roman" w:cs="Times New Roman"/>
          <w:b/>
          <w:bCs/>
          <w:sz w:val="28"/>
          <w:szCs w:val="28"/>
        </w:rPr>
        <w:t>Life Expectancy Dashboard Report (2000–2015)</w:t>
      </w:r>
    </w:p>
    <w:p w14:paraId="72847C6E" w14:textId="5FA67009" w:rsidR="00371E6C" w:rsidRDefault="00371E6C" w:rsidP="00492C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Prepared by: Reuben Chukwuma Odo</w:t>
      </w:r>
    </w:p>
    <w:p w14:paraId="16E426EE" w14:textId="77777777" w:rsidR="00371E6C" w:rsidRPr="00492C16" w:rsidRDefault="00371E6C" w:rsidP="00492C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9D0D9B" w14:textId="77777777" w:rsidR="00492C16" w:rsidRPr="00492C16" w:rsidRDefault="00492C16" w:rsidP="00492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C16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7CB11B70" w14:textId="706B61B0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This dashboard presents a comprehensive analysis of global life expectancy between 2000 and 2015,</w:t>
      </w:r>
      <w:r w:rsidRPr="00492C16">
        <w:rPr>
          <w:rFonts w:ascii="Times New Roman" w:hAnsi="Times New Roman" w:cs="Times New Roman"/>
          <w:sz w:val="28"/>
          <w:szCs w:val="28"/>
        </w:rPr>
        <w:t xml:space="preserve"> </w:t>
      </w:r>
      <w:r w:rsidRPr="00492C16">
        <w:rPr>
          <w:rFonts w:ascii="Times New Roman" w:hAnsi="Times New Roman" w:cs="Times New Roman"/>
          <w:sz w:val="28"/>
          <w:szCs w:val="28"/>
        </w:rPr>
        <w:t>exploring demographic, economic, and health-related predictors including GDP, mortality, disease</w:t>
      </w:r>
      <w:r w:rsidRPr="00492C16">
        <w:rPr>
          <w:rFonts w:ascii="Times New Roman" w:hAnsi="Times New Roman" w:cs="Times New Roman"/>
          <w:sz w:val="28"/>
          <w:szCs w:val="28"/>
        </w:rPr>
        <w:t xml:space="preserve"> </w:t>
      </w:r>
      <w:r w:rsidRPr="00492C16">
        <w:rPr>
          <w:rFonts w:ascii="Times New Roman" w:hAnsi="Times New Roman" w:cs="Times New Roman"/>
          <w:sz w:val="28"/>
          <w:szCs w:val="28"/>
        </w:rPr>
        <w:t>burden, immunization coverage, and healthcare expenditure.</w:t>
      </w:r>
      <w:r w:rsidRPr="00492C16">
        <w:rPr>
          <w:rFonts w:ascii="Times New Roman" w:hAnsi="Times New Roman" w:cs="Times New Roman"/>
          <w:sz w:val="28"/>
          <w:szCs w:val="28"/>
        </w:rPr>
        <w:t xml:space="preserve"> The insights help compare countries, identify improvement patterns, and evaluate factors influencing long-term human health outcomes.</w:t>
      </w:r>
    </w:p>
    <w:p w14:paraId="31768CCD" w14:textId="77777777" w:rsidR="00492C16" w:rsidRPr="00492C16" w:rsidRDefault="00492C16" w:rsidP="00492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C1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07ECAF1" w14:textId="396FAC8E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The goal is to understand key life expectancy trends, identify improvement patterns, anal</w:t>
      </w:r>
      <w:r w:rsidRPr="00492C16">
        <w:rPr>
          <w:rFonts w:ascii="Times New Roman" w:hAnsi="Times New Roman" w:cs="Times New Roman"/>
          <w:sz w:val="28"/>
          <w:szCs w:val="28"/>
        </w:rPr>
        <w:t>ys</w:t>
      </w:r>
      <w:r w:rsidRPr="00492C16">
        <w:rPr>
          <w:rFonts w:ascii="Times New Roman" w:hAnsi="Times New Roman" w:cs="Times New Roman"/>
          <w:sz w:val="28"/>
          <w:szCs w:val="28"/>
        </w:rPr>
        <w:t>e critical</w:t>
      </w:r>
      <w:r w:rsidRPr="00492C16">
        <w:rPr>
          <w:rFonts w:ascii="Times New Roman" w:hAnsi="Times New Roman" w:cs="Times New Roman"/>
          <w:sz w:val="28"/>
          <w:szCs w:val="28"/>
        </w:rPr>
        <w:t xml:space="preserve"> </w:t>
      </w:r>
      <w:r w:rsidRPr="00492C16">
        <w:rPr>
          <w:rFonts w:ascii="Times New Roman" w:hAnsi="Times New Roman" w:cs="Times New Roman"/>
          <w:sz w:val="28"/>
          <w:szCs w:val="28"/>
        </w:rPr>
        <w:t>influencing variables, and compare developed vs developing nations.</w:t>
      </w:r>
    </w:p>
    <w:p w14:paraId="5B3C5EEF" w14:textId="77777777" w:rsidR="00492C16" w:rsidRPr="00492C16" w:rsidRDefault="00492C16" w:rsidP="00492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C16">
        <w:rPr>
          <w:rFonts w:ascii="Times New Roman" w:hAnsi="Times New Roman" w:cs="Times New Roman"/>
          <w:b/>
          <w:bCs/>
          <w:sz w:val="28"/>
          <w:szCs w:val="28"/>
        </w:rPr>
        <w:t>Key Metrics</w:t>
      </w:r>
    </w:p>
    <w:p w14:paraId="3612D96E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- Average Life Expectancy</w:t>
      </w:r>
    </w:p>
    <w:p w14:paraId="0C2C2C4D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- Adult Mortality Rate</w:t>
      </w:r>
    </w:p>
    <w:p w14:paraId="15AC4990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- Infant &amp; Under-5 Mortality</w:t>
      </w:r>
    </w:p>
    <w:p w14:paraId="0D8EC6A6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- GDP per Capita</w:t>
      </w:r>
    </w:p>
    <w:p w14:paraId="39677DA9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- Health Expenditure (% GDP)</w:t>
      </w:r>
    </w:p>
    <w:p w14:paraId="524C8E71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- Immunization Rates</w:t>
      </w:r>
    </w:p>
    <w:p w14:paraId="5E015AEB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- HIV/AIDS &amp; Measles Prevalence</w:t>
      </w:r>
    </w:p>
    <w:p w14:paraId="7509C95A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- Improvement Score (2000–2015)</w:t>
      </w:r>
    </w:p>
    <w:p w14:paraId="137E75B0" w14:textId="77777777" w:rsidR="00492C16" w:rsidRPr="00492C16" w:rsidRDefault="00492C16" w:rsidP="00492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C16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3BD3EC48" w14:textId="63E8693A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• Developed countries maintain higher life expectancy, while developing nations show strong upward</w:t>
      </w:r>
      <w:r w:rsidRPr="00492C16">
        <w:rPr>
          <w:rFonts w:ascii="Times New Roman" w:hAnsi="Times New Roman" w:cs="Times New Roman"/>
          <w:sz w:val="28"/>
          <w:szCs w:val="28"/>
        </w:rPr>
        <w:t xml:space="preserve"> </w:t>
      </w:r>
      <w:r w:rsidRPr="00492C16">
        <w:rPr>
          <w:rFonts w:ascii="Times New Roman" w:hAnsi="Times New Roman" w:cs="Times New Roman"/>
          <w:sz w:val="28"/>
          <w:szCs w:val="28"/>
        </w:rPr>
        <w:t>trends.</w:t>
      </w:r>
    </w:p>
    <w:p w14:paraId="4C1C6431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• HIV/AIDS prevalence, infant deaths, and adult mortality significantly reduce life expectancy.</w:t>
      </w:r>
    </w:p>
    <w:p w14:paraId="783C8410" w14:textId="7FD7059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lastRenderedPageBreak/>
        <w:t>• Higher immunization and health expenditure correlate with higher life</w:t>
      </w:r>
      <w:r w:rsidR="00371E6C">
        <w:rPr>
          <w:rFonts w:ascii="Times New Roman" w:hAnsi="Times New Roman" w:cs="Times New Roman"/>
          <w:sz w:val="28"/>
          <w:szCs w:val="28"/>
        </w:rPr>
        <w:t xml:space="preserve"> </w:t>
      </w:r>
      <w:r w:rsidRPr="00492C16">
        <w:rPr>
          <w:rFonts w:ascii="Times New Roman" w:hAnsi="Times New Roman" w:cs="Times New Roman"/>
          <w:sz w:val="28"/>
          <w:szCs w:val="28"/>
        </w:rPr>
        <w:t>expectancy.</w:t>
      </w:r>
    </w:p>
    <w:p w14:paraId="44A358F7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• Education shows strong influence on long-term health outcomes.</w:t>
      </w:r>
    </w:p>
    <w:p w14:paraId="4998DF03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• Several developing countries show remarkable 15-year improvements.</w:t>
      </w:r>
    </w:p>
    <w:p w14:paraId="08B0436B" w14:textId="77777777" w:rsidR="00492C16" w:rsidRPr="00492C16" w:rsidRDefault="00492C16" w:rsidP="00492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C16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</w:p>
    <w:p w14:paraId="6D1724BA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• Strengthen immunization and childhood survival programs.</w:t>
      </w:r>
    </w:p>
    <w:p w14:paraId="2BE8F100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• Increase healthcare spending and access.</w:t>
      </w:r>
    </w:p>
    <w:p w14:paraId="2272698A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• Expand HIV/AIDS prevention and treatment.</w:t>
      </w:r>
    </w:p>
    <w:p w14:paraId="1A479320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• Invest in education as a long-term health driver.</w:t>
      </w:r>
    </w:p>
    <w:p w14:paraId="46E3EABF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• Support countries with stagnating or declining life expectancy.</w:t>
      </w:r>
    </w:p>
    <w:p w14:paraId="30B17D1A" w14:textId="77777777" w:rsidR="00492C16" w:rsidRPr="00492C16" w:rsidRDefault="00492C16" w:rsidP="00492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C1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4190E83" w14:textId="77777777" w:rsidR="00492C16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Life expectancy improved globally from 2000–2015 with significant progress among developing nations.</w:t>
      </w:r>
    </w:p>
    <w:p w14:paraId="5B8274AA" w14:textId="6F4FCA5F" w:rsidR="003C7FCA" w:rsidRPr="00492C16" w:rsidRDefault="00492C16" w:rsidP="00492C16">
      <w:pPr>
        <w:rPr>
          <w:rFonts w:ascii="Times New Roman" w:hAnsi="Times New Roman" w:cs="Times New Roman"/>
          <w:sz w:val="28"/>
          <w:szCs w:val="28"/>
        </w:rPr>
      </w:pPr>
      <w:r w:rsidRPr="00492C16">
        <w:rPr>
          <w:rFonts w:ascii="Times New Roman" w:hAnsi="Times New Roman" w:cs="Times New Roman"/>
          <w:sz w:val="28"/>
          <w:szCs w:val="28"/>
        </w:rPr>
        <w:t>Sustainable improvement requires continued investment in public health, education, and disease</w:t>
      </w:r>
      <w:r w:rsidR="00371E6C">
        <w:rPr>
          <w:rFonts w:ascii="Times New Roman" w:hAnsi="Times New Roman" w:cs="Times New Roman"/>
          <w:sz w:val="28"/>
          <w:szCs w:val="28"/>
        </w:rPr>
        <w:t xml:space="preserve"> </w:t>
      </w:r>
      <w:r w:rsidRPr="00492C16">
        <w:rPr>
          <w:rFonts w:ascii="Times New Roman" w:hAnsi="Times New Roman" w:cs="Times New Roman"/>
          <w:sz w:val="28"/>
          <w:szCs w:val="28"/>
        </w:rPr>
        <w:t>control.</w:t>
      </w:r>
    </w:p>
    <w:sectPr w:rsidR="003C7FCA" w:rsidRPr="00492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16"/>
    <w:rsid w:val="00357EE5"/>
    <w:rsid w:val="00371E6C"/>
    <w:rsid w:val="003C7FCA"/>
    <w:rsid w:val="00492C16"/>
    <w:rsid w:val="009C708F"/>
    <w:rsid w:val="009F2FD5"/>
    <w:rsid w:val="00AB39CD"/>
    <w:rsid w:val="00B1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628C"/>
  <w15:chartTrackingRefBased/>
  <w15:docId w15:val="{67333D64-75B4-4180-9AC4-E2B199C5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Odo</dc:creator>
  <cp:keywords/>
  <dc:description/>
  <cp:lastModifiedBy>Reuben Odo</cp:lastModifiedBy>
  <cp:revision>2</cp:revision>
  <dcterms:created xsi:type="dcterms:W3CDTF">2025-12-11T17:25:00Z</dcterms:created>
  <dcterms:modified xsi:type="dcterms:W3CDTF">2025-12-11T17:25:00Z</dcterms:modified>
</cp:coreProperties>
</file>