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7C3AED"/>
          <w:sz w:val="80"/>
          <w:szCs w:val="80"/>
        </w:rPr>
        <w:t xml:space="preserve">REUSSITESS®971</w:t>
      </w:r>
    </w:p>
    <w:p>
      <w:pPr>
        <w:spacing w:before="60" w:after="0"/>
        <w:jc w:val="center"/>
      </w:pPr>
      <w:r>
        <w:rPr>
          <w:rFonts w:ascii="Arial" w:cs="Arial" w:eastAsia="Arial" w:hAnsi="Arial"/>
          <w:color w:val="64748B"/>
          <w:sz w:val="22"/>
          <w:szCs w:val="22"/>
        </w:rPr>
        <w:t xml:space="preserve">🌴  Terres De Champions  ·  Positivité à l'Infini  ·  Boudoum  🌴</w:t>
      </w:r>
    </w:p>
    <w:p>
      <w:pPr>
        <w:spacing w:before="120" w:after="120"/>
      </w:pPr>
      <w:r>
        <w:t xml:space="preserve"/>
      </w:r>
    </w:p>
    <w:p>
      <w:pPr>
        <w:jc w:val="center"/>
      </w:pPr>
      <w:r>
        <w:rPr>
          <w:rFonts w:ascii="Arial" w:cs="Arial" w:eastAsia="Arial" w:hAnsi="Arial"/>
          <w:b/>
          <w:bCs/>
          <w:color w:val="1E293B"/>
          <w:sz w:val="48"/>
          <w:szCs w:val="48"/>
        </w:rPr>
        <w:t xml:space="preserve">WHITEPAPER OFFICIEL</w:t>
      </w:r>
    </w:p>
    <w:p>
      <w:pPr>
        <w:jc w:val="center"/>
      </w:pPr>
      <w:r>
        <w:rPr>
          <w:rFonts w:ascii="Arial" w:cs="Arial" w:eastAsia="Arial" w:hAnsi="Arial"/>
          <w:b/>
          <w:bCs/>
          <w:color w:val="7C3AED"/>
          <w:sz w:val="32"/>
          <w:szCs w:val="32"/>
        </w:rPr>
        <w:t xml:space="preserve">REUSS TOKEN — ERC-20 · Polygon Network</w:t>
      </w:r>
    </w:p>
    <w:p>
      <w:pPr>
        <w:spacing w:before="120" w:after="120"/>
      </w:pPr>
      <w:r>
        <w:t xml:space="preserve"/>
      </w:r>
    </w:p>
    <w:p>
      <w:pPr>
        <w:jc w:val="center"/>
      </w:pPr>
      <w:r>
        <w:rPr>
          <w:rFonts w:ascii="Arial" w:cs="Arial" w:eastAsia="Arial" w:hAnsi="Arial"/>
          <w:color w:val="64748B"/>
          <w:sz w:val="22"/>
          <w:szCs w:val="22"/>
        </w:rPr>
        <w:t xml:space="preserve">Version 1.0  |  Février 2026  |  Guadeloupe, France</w:t>
      </w:r>
    </w:p>
    <w:p>
      <w:pPr>
        <w:spacing w:before="120" w:after="120"/>
      </w:pPr>
      <w:r>
        <w:t xml:space="preserve"/>
      </w:r>
    </w:p>
    <w:p>
      <w:pPr>
        <w:pBdr>
          <w:top w:val="single" w:color="7C3AED" w:sz="2" w:space="8"/>
          <w:bottom w:val="single" w:color="7C3AED" w:sz="2" w:space="8"/>
        </w:pBdr>
        <w:spacing w:before="200" w:after="200"/>
        <w:jc w:val="center"/>
      </w:pPr>
      <w:r>
        <w:rPr>
          <w:rFonts w:ascii="Arial" w:cs="Arial" w:eastAsia="Arial" w:hAnsi="Arial"/>
          <w:b/>
          <w:bCs/>
          <w:i/>
          <w:iCs/>
          <w:color w:val="4C1D95"/>
          <w:sz w:val="28"/>
          <w:szCs w:val="28"/>
        </w:rPr>
        <w:t xml:space="preserve">Le premier token utilitaire de la diaspora mondiale francophone</w:t>
      </w:r>
    </w:p>
    <w:p>
      <w:pPr>
        <w:spacing w:before="120" w:after="120"/>
      </w:pPr>
      <w:r>
        <w:t xml:space="preserve"/>
      </w:r>
    </w:p>
    <w:p>
      <w:pPr>
        <w:jc w:val="center"/>
      </w:pPr>
      <w:r>
        <w:rPr>
          <w:rFonts w:ascii="Arial" w:cs="Arial" w:eastAsia="Arial" w:hAnsi="Arial"/>
          <w:b/>
          <w:bCs/>
          <w:color w:val="7C3AED"/>
          <w:sz w:val="20"/>
          <w:szCs w:val="20"/>
        </w:rPr>
        <w:t xml:space="preserve">Contrat : 0xB37531727fC07c6EED4f97F852A115B428046EB2</w:t>
      </w:r>
    </w:p>
    <w:p>
      <w:pPr>
        <w:jc w:val="center"/>
      </w:pPr>
      <w:r>
        <w:rPr>
          <w:rFonts w:ascii="Arial" w:cs="Arial" w:eastAsia="Arial" w:hAnsi="Arial"/>
          <w:color w:val="64748B"/>
          <w:sz w:val="20"/>
          <w:szCs w:val="20"/>
        </w:rPr>
        <w:t xml:space="preserve">Réseau : Polygon (POS)  |  polygonscan.com</w:t>
      </w:r>
    </w:p>
    <w:p>
      <w:pPr>
        <w:spacing w:before="120" w:after="120"/>
      </w:pPr>
      <w:r>
        <w:t xml:space="preserve"/>
      </w:r>
    </w:p>
    <w:p>
      <w:pPr>
        <w:jc w:val="center"/>
      </w:pPr>
      <w:r>
        <w:rPr>
          <w:rFonts w:ascii="Arial" w:cs="Arial" w:eastAsia="Arial" w:hAnsi="Arial"/>
          <w:color w:val="1E293B"/>
          <w:sz w:val="20"/>
          <w:szCs w:val="20"/>
        </w:rPr>
        <w:t xml:space="preserve">Fondateur : Rony Porinus  |  rony.porinus@gmail.com</w:t>
      </w:r>
    </w:p>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1. Résumé Exécutif</w:t>
      </w:r>
    </w:p>
    <w:p>
      <w:pPr>
        <w:spacing w:before="80" w:after="80"/>
        <w:jc w:val="both"/>
      </w:pPr>
      <w:r>
        <w:rPr>
          <w:rFonts w:ascii="Arial" w:cs="Arial" w:eastAsia="Arial" w:hAnsi="Arial"/>
          <w:b w:val="false"/>
          <w:bCs w:val="false"/>
          <w:i w:val="false"/>
          <w:iCs w:val="false"/>
          <w:color w:val="1E293B"/>
          <w:sz w:val="22"/>
          <w:szCs w:val="22"/>
        </w:rPr>
        <w:t xml:space="preserve">REUSS est le token utilitaire officiel de l'écosystème Reussitess®971, déployé sur la blockchain Polygon. Fruit du travail de Rony Porinus depuis la Guadeloupe, Reussitess®971 est la première plateforme d'éducation, de revenus passifs et d'opportunités économiques dédiée à la diaspora mondiale francophone.</w:t>
      </w:r>
    </w:p>
    <w:p>
      <w:pPr>
        <w:spacing w:before="120" w:after="120"/>
      </w:pPr>
      <w:r>
        <w:t xml:space="preserve"/>
      </w:r>
    </w:p>
    <w:p>
      <w:pPr>
        <w:spacing w:before="80" w:after="80"/>
        <w:jc w:val="both"/>
      </w:pPr>
      <w:r>
        <w:rPr>
          <w:rFonts w:ascii="Arial" w:cs="Arial" w:eastAsia="Arial" w:hAnsi="Arial"/>
          <w:b w:val="false"/>
          <w:bCs w:val="false"/>
          <w:i w:val="false"/>
          <w:iCs w:val="false"/>
          <w:color w:val="1E293B"/>
          <w:sz w:val="22"/>
          <w:szCs w:val="22"/>
        </w:rPr>
        <w:t xml:space="preserve">L'écosystème est déjà pleinement opérationnel : 50 quiz éducatifs interactifs en 6 langues, 26 boutiques Amazon actives dans 14 pays, intégration GoMining pour le minage Bitcoin passif, 200 agents IA déployés, et la technologie Reussitess®NEURO-X. Le token REUSS vient ancrer économiquement cet écosystème en récompensant l'apprentissage, en facilitant les paiements internes et en permettant la gouvernance décentralisée.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Token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REUSS — REUSSITESS Token</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Blockchain</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Polygon (POS) — ERC-20</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Contrat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0xB37531727fC07c6EED4f97F852A115B428046EB2</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Supply total</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1 000 000 000 REUSS (1 milliard)</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Supply on-chain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999 999 999 REUSS (1 brûlé symboliquement)</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Holders actuels</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20 personnes (phase amorçage)</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Pool liquidité</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QuickSwap V3 — REUSS/POL</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Fondateur</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Rony Porinus — Guadeloupe, France</w:t>
            </w:r>
          </w:p>
        </w:tc>
      </w:tr>
    </w:tbl>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2. Problème Identifié</w:t>
      </w:r>
    </w:p>
    <w:p>
      <w:pPr>
        <w:spacing w:before="80" w:after="80"/>
        <w:jc w:val="both"/>
      </w:pPr>
      <w:r>
        <w:rPr>
          <w:rFonts w:ascii="Arial" w:cs="Arial" w:eastAsia="Arial" w:hAnsi="Arial"/>
          <w:b w:val="false"/>
          <w:bCs w:val="false"/>
          <w:i w:val="false"/>
          <w:iCs w:val="false"/>
          <w:color w:val="1E293B"/>
          <w:sz w:val="22"/>
          <w:szCs w:val="22"/>
        </w:rPr>
        <w:t xml:space="preserve">La diaspora africaine et antillaise francophone représente des dizaines de millions de personnes réparties sur les 5 continents, avec un fort potentiel économique collectif. Pourtant, plusieurs obstacles structurels persistent :</w:t>
      </w:r>
    </w:p>
    <w:p>
      <w:pPr>
        <w:spacing w:before="120" w:after="120"/>
      </w:pPr>
      <w:r>
        <w:t xml:space="preserve"/>
      </w:r>
    </w:p>
    <w:p>
      <w:pPr>
        <w:pStyle w:val="ListParagraph"/>
        <w:numPr>
          <w:ilvl w:val="0"/>
          <w:numId w:val="2"/>
        </w:numPr>
        <w:spacing w:before="60" w:after="60"/>
      </w:pPr>
      <w:r>
        <w:rPr>
          <w:rFonts w:ascii="Arial" w:cs="Arial" w:eastAsia="Arial" w:hAnsi="Arial"/>
          <w:color w:val="1E293B"/>
          <w:sz w:val="22"/>
          <w:szCs w:val="22"/>
        </w:rPr>
        <w:t xml:space="preserve">Accès limité aux outils financiers modernes (crypto, investissement) adaptés à leurs réalités</w:t>
      </w:r>
    </w:p>
    <w:p>
      <w:pPr>
        <w:pStyle w:val="ListParagraph"/>
        <w:numPr>
          <w:ilvl w:val="0"/>
          <w:numId w:val="2"/>
        </w:numPr>
        <w:spacing w:before="60" w:after="60"/>
      </w:pPr>
      <w:r>
        <w:rPr>
          <w:rFonts w:ascii="Arial" w:cs="Arial" w:eastAsia="Arial" w:hAnsi="Arial"/>
          <w:color w:val="1E293B"/>
          <w:sz w:val="22"/>
          <w:szCs w:val="22"/>
        </w:rPr>
        <w:t xml:space="preserve">Absence d'une plateforme éducative valorisant les cultures africaines, caribéennes et de la diaspora</w:t>
      </w:r>
    </w:p>
    <w:p>
      <w:pPr>
        <w:pStyle w:val="ListParagraph"/>
        <w:numPr>
          <w:ilvl w:val="0"/>
          <w:numId w:val="2"/>
        </w:numPr>
        <w:spacing w:before="60" w:after="60"/>
      </w:pPr>
      <w:r>
        <w:rPr>
          <w:rFonts w:ascii="Arial" w:cs="Arial" w:eastAsia="Arial" w:hAnsi="Arial"/>
          <w:color w:val="1E293B"/>
          <w:sz w:val="22"/>
          <w:szCs w:val="22"/>
        </w:rPr>
        <w:t xml:space="preserve">Revenus passifs inaccessibles sans capital initial important</w:t>
      </w:r>
    </w:p>
    <w:p>
      <w:pPr>
        <w:pStyle w:val="ListParagraph"/>
        <w:numPr>
          <w:ilvl w:val="0"/>
          <w:numId w:val="2"/>
        </w:numPr>
        <w:spacing w:before="60" w:after="60"/>
      </w:pPr>
      <w:r>
        <w:rPr>
          <w:rFonts w:ascii="Arial" w:cs="Arial" w:eastAsia="Arial" w:hAnsi="Arial"/>
          <w:color w:val="1E293B"/>
          <w:sz w:val="22"/>
          <w:szCs w:val="22"/>
        </w:rPr>
        <w:t xml:space="preserve">Manque d'un écosystème numérique unifié pour la diaspora francophone mondiale</w:t>
      </w:r>
    </w:p>
    <w:p>
      <w:pPr>
        <w:pStyle w:val="ListParagraph"/>
        <w:numPr>
          <w:ilvl w:val="0"/>
          <w:numId w:val="2"/>
        </w:numPr>
        <w:spacing w:before="60" w:after="60"/>
      </w:pPr>
      <w:r>
        <w:rPr>
          <w:rFonts w:ascii="Arial" w:cs="Arial" w:eastAsia="Arial" w:hAnsi="Arial"/>
          <w:color w:val="1E293B"/>
          <w:sz w:val="22"/>
          <w:szCs w:val="22"/>
        </w:rPr>
        <w:t xml:space="preserve">Difficulté à valoriser et récompenser l'apprentissage et l'engagement communautaire</w:t>
      </w:r>
    </w:p>
    <w:p>
      <w:pPr>
        <w:pStyle w:val="ListParagraph"/>
        <w:numPr>
          <w:ilvl w:val="0"/>
          <w:numId w:val="2"/>
        </w:numPr>
        <w:spacing w:before="60" w:after="60"/>
      </w:pPr>
      <w:r>
        <w:rPr>
          <w:rFonts w:ascii="Arial" w:cs="Arial" w:eastAsia="Arial" w:hAnsi="Arial"/>
          <w:color w:val="1E293B"/>
          <w:sz w:val="22"/>
          <w:szCs w:val="22"/>
        </w:rPr>
        <w:t xml:space="preserve">Transfert de valeur inter-pays coûteux et lent via les systèmes bancaires traditionnels</w:t>
      </w:r>
    </w:p>
    <w:p>
      <w:pPr>
        <w:spacing w:before="120" w:after="120"/>
      </w:pPr>
      <w:r>
        <w:t xml:space="preserve"/>
      </w:r>
    </w:p>
    <w:p>
      <w:pPr>
        <w:spacing w:before="80" w:after="80"/>
        <w:jc w:val="both"/>
      </w:pPr>
      <w:r>
        <w:rPr>
          <w:rFonts w:ascii="Arial" w:cs="Arial" w:eastAsia="Arial" w:hAnsi="Arial"/>
          <w:b w:val="false"/>
          <w:bCs w:val="false"/>
          <w:i w:val="false"/>
          <w:iCs w:val="false"/>
          <w:color w:val="1E293B"/>
          <w:sz w:val="22"/>
          <w:szCs w:val="22"/>
        </w:rPr>
        <w:t xml:space="preserve">Reussitess®971 résout ces problèmes depuis 2023 avec une plateforme opérationnelle. Le token REUSS en est la couche économique décentralisée.</w:t>
      </w:r>
    </w:p>
    <w:p>
      <w:pPr>
        <w:spacing w:before="120" w:after="120"/>
      </w:pPr>
      <w:r>
        <w:t xml:space="preserve"/>
      </w:r>
    </w:p>
    <w:p>
      <w:pPr>
        <w:pStyle w:val="Heading1"/>
        <w:pBdr>
          <w:bottom w:val="single" w:color="7C3AED" w:sz="6" w:space="4"/>
        </w:pBdr>
        <w:spacing w:before="480" w:after="200"/>
      </w:pPr>
      <w:r>
        <w:rPr>
          <w:rFonts w:ascii="Arial" w:cs="Arial" w:eastAsia="Arial" w:hAnsi="Arial"/>
          <w:b/>
          <w:bCs/>
          <w:color w:val="1E293B"/>
          <w:sz w:val="34"/>
          <w:szCs w:val="34"/>
        </w:rPr>
        <w:t xml:space="preserve">3. L'Écosystème Reussitess®971</w:t>
      </w:r>
    </w:p>
    <w:p>
      <w:pPr>
        <w:pStyle w:val="Heading2"/>
        <w:spacing w:before="280" w:after="120"/>
      </w:pPr>
      <w:r>
        <w:rPr>
          <w:rFonts w:ascii="Arial" w:cs="Arial" w:eastAsia="Arial" w:hAnsi="Arial"/>
          <w:b/>
          <w:bCs/>
          <w:color w:val="7C3AED"/>
          <w:sz w:val="26"/>
          <w:szCs w:val="26"/>
        </w:rPr>
        <w:t xml:space="preserve">3.1 Plateforme éducative — 50 Quiz en 6 langues</w:t>
      </w:r>
    </w:p>
    <w:p>
      <w:pPr>
        <w:spacing w:before="80" w:after="80"/>
        <w:jc w:val="both"/>
      </w:pPr>
      <w:r>
        <w:rPr>
          <w:rFonts w:ascii="Arial" w:cs="Arial" w:eastAsia="Arial" w:hAnsi="Arial"/>
          <w:b w:val="false"/>
          <w:bCs w:val="false"/>
          <w:i w:val="false"/>
          <w:iCs w:val="false"/>
          <w:color w:val="1E293B"/>
          <w:sz w:val="22"/>
          <w:szCs w:val="22"/>
        </w:rPr>
        <w:t xml:space="preserve">La plateforme reussitess.fr propose 50 catégories de quiz interactifs couvrant la culture générale, la technologie, l'entrepreneuriat, la blockchain, la cuisine antillaise, l'Afrique, les Caraïbes et bien plus. Un LanguageBot intégré permet la lecture et la traduction de chaque question en 6 langues : Français, Anglais, Espagnol, Portugais, Créole antillais et Arabe.</w:t>
      </w:r>
    </w:p>
    <w:p>
      <w:pPr>
        <w:pStyle w:val="Heading2"/>
        <w:spacing w:before="280" w:after="120"/>
      </w:pPr>
      <w:r>
        <w:rPr>
          <w:rFonts w:ascii="Arial" w:cs="Arial" w:eastAsia="Arial" w:hAnsi="Arial"/>
          <w:b/>
          <w:bCs/>
          <w:color w:val="7C3AED"/>
          <w:sz w:val="26"/>
          <w:szCs w:val="26"/>
        </w:rPr>
        <w:t xml:space="preserve">3.2 Commerce Amazon — 26 Boutiques · 14 Pays</w:t>
      </w:r>
    </w:p>
    <w:p>
      <w:pPr>
        <w:spacing w:before="80" w:after="80"/>
        <w:jc w:val="both"/>
      </w:pPr>
      <w:r>
        <w:rPr>
          <w:rFonts w:ascii="Arial" w:cs="Arial" w:eastAsia="Arial" w:hAnsi="Arial"/>
          <w:b w:val="false"/>
          <w:bCs w:val="false"/>
          <w:i w:val="false"/>
          <w:iCs w:val="false"/>
          <w:color w:val="1E293B"/>
          <w:sz w:val="22"/>
          <w:szCs w:val="22"/>
        </w:rPr>
        <w:t xml:space="preserve">Reussitess®971 opère 26 storefronts Amazon dans 14 pays : USA, France, Allemagne, Italie, Espagne, Canada, UK, Australie, Belgique, Inde, Pays-Bas, Suède, Singapour et Brésil. L'identifiant affilié ronyporinu0ac-21 génère des commissions de 4 à 8% sur chaque vente qualifiée.</w:t>
      </w:r>
    </w:p>
    <w:p>
      <w:pPr>
        <w:pStyle w:val="Heading2"/>
        <w:spacing w:before="280" w:after="120"/>
      </w:pPr>
      <w:r>
        <w:rPr>
          <w:rFonts w:ascii="Arial" w:cs="Arial" w:eastAsia="Arial" w:hAnsi="Arial"/>
          <w:b/>
          <w:bCs/>
          <w:color w:val="7C3AED"/>
          <w:sz w:val="26"/>
          <w:szCs w:val="26"/>
        </w:rPr>
        <w:t xml:space="preserve">3.3 Minage Bitcoin Passif — GoMining</w:t>
      </w:r>
    </w:p>
    <w:p>
      <w:pPr>
        <w:spacing w:before="80" w:after="80"/>
        <w:jc w:val="both"/>
      </w:pPr>
      <w:r>
        <w:rPr>
          <w:rFonts w:ascii="Arial" w:cs="Arial" w:eastAsia="Arial" w:hAnsi="Arial"/>
          <w:b w:val="false"/>
          <w:bCs w:val="false"/>
          <w:i w:val="false"/>
          <w:iCs w:val="false"/>
          <w:color w:val="1E293B"/>
          <w:sz w:val="22"/>
          <w:szCs w:val="22"/>
        </w:rPr>
        <w:t xml:space="preserve">L'intégration GoMining (lien parrainage : gomining.com/?ref=OT3GI2U) permet à chaque membre de la communauté de miner du Bitcoin passivement via des NFT mineurs. Le fondateur génère actuellement 0,84$ par jour avec un classement top 3% mondial (#30 377 global).</w:t>
      </w:r>
    </w:p>
    <w:p>
      <w:pPr>
        <w:pStyle w:val="Heading2"/>
        <w:spacing w:before="280" w:after="120"/>
      </w:pPr>
      <w:r>
        <w:rPr>
          <w:rFonts w:ascii="Arial" w:cs="Arial" w:eastAsia="Arial" w:hAnsi="Arial"/>
          <w:b/>
          <w:bCs/>
          <w:color w:val="7C3AED"/>
          <w:sz w:val="26"/>
          <w:szCs w:val="26"/>
        </w:rPr>
        <w:t xml:space="preserve">3.4 Intelligence Artificielle — 200 Agents</w:t>
      </w:r>
    </w:p>
    <w:p>
      <w:pPr>
        <w:spacing w:before="80" w:after="80"/>
        <w:jc w:val="both"/>
      </w:pPr>
      <w:r>
        <w:rPr>
          <w:rFonts w:ascii="Arial" w:cs="Arial" w:eastAsia="Arial" w:hAnsi="Arial"/>
          <w:b w:val="false"/>
          <w:bCs w:val="false"/>
          <w:i w:val="false"/>
          <w:iCs w:val="false"/>
          <w:color w:val="1E293B"/>
          <w:sz w:val="22"/>
          <w:szCs w:val="22"/>
        </w:rPr>
        <w:t xml:space="preserve">Un système de 200 agents IA est déployé selon une architecture hiérarchique :</w:t>
      </w:r>
    </w:p>
    <w:p>
      <w:pPr>
        <w:pStyle w:val="ListParagraph"/>
        <w:numPr>
          <w:ilvl w:val="0"/>
          <w:numId w:val="2"/>
        </w:numPr>
        <w:spacing w:before="60" w:after="60"/>
      </w:pPr>
      <w:r>
        <w:rPr>
          <w:rFonts w:ascii="Arial" w:cs="Arial" w:eastAsia="Arial" w:hAnsi="Arial"/>
          <w:color w:val="1E293B"/>
          <w:sz w:val="22"/>
          <w:szCs w:val="22"/>
        </w:rPr>
        <w:t xml:space="preserve">1 Agent Suprême — Orchestration globale de l'écosystème</w:t>
      </w:r>
    </w:p>
    <w:p>
      <w:pPr>
        <w:pStyle w:val="ListParagraph"/>
        <w:numPr>
          <w:ilvl w:val="0"/>
          <w:numId w:val="2"/>
        </w:numPr>
        <w:spacing w:before="60" w:after="60"/>
      </w:pPr>
      <w:r>
        <w:rPr>
          <w:rFonts w:ascii="Arial" w:cs="Arial" w:eastAsia="Arial" w:hAnsi="Arial"/>
          <w:color w:val="1E293B"/>
          <w:sz w:val="22"/>
          <w:szCs w:val="22"/>
        </w:rPr>
        <w:t xml:space="preserve">99 Agents Nexus — Gestion quiz, distribution rewards, engagement communauté</w:t>
      </w:r>
    </w:p>
    <w:p>
      <w:pPr>
        <w:pStyle w:val="ListParagraph"/>
        <w:numPr>
          <w:ilvl w:val="0"/>
          <w:numId w:val="2"/>
        </w:numPr>
        <w:spacing w:before="60" w:after="60"/>
      </w:pPr>
      <w:r>
        <w:rPr>
          <w:rFonts w:ascii="Arial" w:cs="Arial" w:eastAsia="Arial" w:hAnsi="Arial"/>
          <w:color w:val="1E293B"/>
          <w:sz w:val="22"/>
          <w:szCs w:val="22"/>
        </w:rPr>
        <w:t xml:space="preserve">60 Agents Neuro-X — Analyse marchés Amazon, optimisation produits, prédictions</w:t>
      </w:r>
    </w:p>
    <w:p>
      <w:pPr>
        <w:pStyle w:val="ListParagraph"/>
        <w:numPr>
          <w:ilvl w:val="0"/>
          <w:numId w:val="2"/>
        </w:numPr>
        <w:spacing w:before="60" w:after="60"/>
      </w:pPr>
      <w:r>
        <w:rPr>
          <w:rFonts w:ascii="Arial" w:cs="Arial" w:eastAsia="Arial" w:hAnsi="Arial"/>
          <w:color w:val="1E293B"/>
          <w:sz w:val="22"/>
          <w:szCs w:val="22"/>
        </w:rPr>
        <w:t xml:space="preserve">40 Sentinelles — Surveillance du contrat REUSS, pool liquidité, réserve et boutiques</w:t>
      </w:r>
    </w:p>
    <w:p>
      <w:pPr>
        <w:pStyle w:val="Heading2"/>
        <w:spacing w:before="280" w:after="120"/>
      </w:pPr>
      <w:r>
        <w:rPr>
          <w:rFonts w:ascii="Arial" w:cs="Arial" w:eastAsia="Arial" w:hAnsi="Arial"/>
          <w:b/>
          <w:bCs/>
          <w:color w:val="7C3AED"/>
          <w:sz w:val="26"/>
          <w:szCs w:val="26"/>
        </w:rPr>
        <w:t xml:space="preserve">3.5 Reussitess®NEURO-X — IA propriétaire</w:t>
      </w:r>
    </w:p>
    <w:p>
      <w:pPr>
        <w:spacing w:before="80" w:after="80"/>
        <w:jc w:val="both"/>
      </w:pPr>
      <w:r>
        <w:rPr>
          <w:rFonts w:ascii="Arial" w:cs="Arial" w:eastAsia="Arial" w:hAnsi="Arial"/>
          <w:b w:val="false"/>
          <w:bCs w:val="false"/>
          <w:i w:val="false"/>
          <w:iCs w:val="false"/>
          <w:color w:val="1E293B"/>
          <w:sz w:val="22"/>
          <w:szCs w:val="22"/>
        </w:rPr>
        <w:t xml:space="preserve">L'IA NEURO-X est le système d'intelligence artificielle propriétaire de Reussitess®, dédiée aux 14 pays partenaires. Elle alimente les recommandations de produits, l'analyse de tendances et l'optimisation des performances commerciales.</w:t>
      </w:r>
    </w:p>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4. Token REUSS — Spécifications Techniques</w:t>
      </w:r>
    </w:p>
    <w:p>
      <w:pPr>
        <w:spacing w:before="80" w:after="80"/>
        <w:jc w:val="both"/>
      </w:pPr>
      <w:r>
        <w:rPr>
          <w:rFonts w:ascii="Arial" w:cs="Arial" w:eastAsia="Arial" w:hAnsi="Arial"/>
          <w:b w:val="false"/>
          <w:bCs w:val="false"/>
          <w:i w:val="false"/>
          <w:iCs w:val="false"/>
          <w:color w:val="1E293B"/>
          <w:sz w:val="22"/>
          <w:szCs w:val="22"/>
        </w:rPr>
        <w:t xml:space="preserve">Le smart contract REUSS est déployé sur Polygon (POS), une blockchain EVM de niveau 2 offrant des frais de transaction quasi-nuls et une vitesse de confirmation rapide — idéale pour les micro-transactions éducatives et les récompenses communautaires.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Nom complet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REUSSITESS Token</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Symbole</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REUSS</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ERC-20 + ERC20Burnable</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Blockchain</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Polygon (POS)</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Adresse contrat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0xB37531727fC07c6EED4f97F852A115B428046EB2</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Décimales</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18</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Supply total créé</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1 000 000 000 REUSS</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Supply on-chain</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999 999 999 REUSS (1 brûlé symboliquement)</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Fonction Burn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ERC20Burnable — destruction définitive possible</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Réserve sécurité</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0xbe8777aB450937bf107090F4F5F7c4834Db079cF</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Pool liquidité</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QuickSwap V3 — 0x1d2e88A55CBBAB68237aa10781a5e00335Af9f9c</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GitHub</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Reussitess30</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Polygonscan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polygonscan.com/token/0xB375...6EB2</w:t>
            </w:r>
          </w:p>
        </w:tc>
      </w:tr>
    </w:tbl>
    <w:p>
      <w:pPr>
        <w:spacing w:before="120" w:after="120"/>
      </w:pPr>
      <w:r>
        <w:t xml:space="preserve"/>
      </w:r>
    </w:p>
    <w:p>
      <w:pPr>
        <w:spacing w:before="80" w:after="80"/>
        <w:jc w:val="both"/>
      </w:pPr>
      <w:r>
        <w:rPr>
          <w:rFonts w:ascii="Arial" w:cs="Arial" w:eastAsia="Arial" w:hAnsi="Arial"/>
          <w:b w:val="false"/>
          <w:bCs w:val="false"/>
          <w:i/>
          <w:iCs/>
          <w:color w:val="1E293B"/>
          <w:sz w:val="22"/>
          <w:szCs w:val="22"/>
        </w:rPr>
        <w:t xml:space="preserve">Symbolisme du 1 token brûlé : Un token volontairement retiré pour incarner la philosophie Reussitess® — nous tendons vers l'excellence sans jamais prétendre l'avoir atteinte. Ce symbole de "Positivité à l'infini" est ancré à jamais dans la blockchain.</w:t>
      </w:r>
    </w:p>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5. Tokenomics</w:t>
      </w:r>
    </w:p>
    <w:p>
      <w:pPr>
        <w:pStyle w:val="Heading2"/>
        <w:spacing w:before="280" w:after="120"/>
      </w:pPr>
      <w:r>
        <w:rPr>
          <w:rFonts w:ascii="Arial" w:cs="Arial" w:eastAsia="Arial" w:hAnsi="Arial"/>
          <w:b/>
          <w:bCs/>
          <w:color w:val="7C3AED"/>
          <w:sz w:val="26"/>
          <w:szCs w:val="26"/>
        </w:rPr>
        <w:t xml:space="preserve">5.1 Distribution actuelle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Montant (REUSS)</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Pourcentage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Réserve / Treasury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~978 000 000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97,9%</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Wallets fondateur</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~26 000 000</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Acheteurs externes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~7 500 000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0,75%</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Autres holders</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~2 500 000</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Burned (symbolique)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&lt;0,01%</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TOTAL</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999 999 999</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100%</w:t>
            </w:r>
          </w:p>
        </w:tc>
      </w:tr>
    </w:tbl>
    <w:p>
      <w:pPr>
        <w:spacing w:before="120" w:after="120"/>
      </w:pPr>
      <w:r>
        <w:t xml:space="preserve"/>
      </w:r>
    </w:p>
    <w:p>
      <w:pPr>
        <w:pStyle w:val="Heading2"/>
        <w:spacing w:before="280" w:after="120"/>
      </w:pPr>
      <w:r>
        <w:rPr>
          <w:rFonts w:ascii="Arial" w:cs="Arial" w:eastAsia="Arial" w:hAnsi="Arial"/>
          <w:b/>
          <w:bCs/>
          <w:color w:val="7C3AED"/>
          <w:sz w:val="26"/>
          <w:szCs w:val="26"/>
        </w:rPr>
        <w:t xml:space="preserve">5.2 Vecteurs GAMMA — Distribution des récompenses</w:t>
      </w:r>
    </w:p>
    <w:p>
      <w:pPr>
        <w:spacing w:before="80" w:after="80"/>
        <w:jc w:val="both"/>
      </w:pPr>
      <w:r>
        <w:rPr>
          <w:rFonts w:ascii="Arial" w:cs="Arial" w:eastAsia="Arial" w:hAnsi="Arial"/>
          <w:b w:val="false"/>
          <w:bCs w:val="false"/>
          <w:i w:val="false"/>
          <w:iCs w:val="false"/>
          <w:color w:val="1E293B"/>
          <w:sz w:val="22"/>
          <w:szCs w:val="22"/>
        </w:rPr>
        <w:t xml:space="preserve">Trois vecteurs de distribution GAMMA alimentent l'économie REUSS :</w:t>
      </w:r>
    </w:p>
    <w:p>
      <w:pPr>
        <w:spacing w:before="120" w:after="120"/>
      </w:pPr>
      <w:r>
        <w:t xml:space="preserve"/>
      </w:r>
    </w:p>
    <w:p>
      <w:pPr>
        <w:pStyle w:val="ListParagraph"/>
        <w:numPr>
          <w:ilvl w:val="0"/>
          <w:numId w:val="2"/>
        </w:numPr>
        <w:spacing w:before="60" w:after="60"/>
      </w:pPr>
      <w:r>
        <w:rPr>
          <w:rFonts w:ascii="Arial" w:cs="Arial" w:eastAsia="Arial" w:hAnsi="Arial"/>
          <w:color w:val="1E293B"/>
          <w:sz w:val="22"/>
          <w:szCs w:val="22"/>
        </w:rPr>
        <w:t>GAMMA-1 (Community Rewards) : Récompenses communautaires financées par les revenus de l'écosystème REUSSITESS®, distribuées indépendamment du programme Amazon Associates</w:t>
      </w:r>
    </w:p>
    <w:p>
      <w:pPr>
        <w:pStyle w:val="ListParagraph"/>
        <w:numPr>
          <w:ilvl w:val="0"/>
          <w:numId w:val="2"/>
        </w:numPr>
        <w:spacing w:before="60" w:after="60"/>
      </w:pPr>
      <w:r>
        <w:rPr>
          <w:rFonts w:ascii="Arial" w:cs="Arial" w:eastAsia="Arial" w:hAnsi="Arial"/>
          <w:color w:val="1E293B"/>
          <w:sz w:val="22"/>
          <w:szCs w:val="22"/>
        </w:rPr>
        <w:t xml:space="preserve">GAMMA-2 (Quiz Rewards) : Source Treasury REUSS — 1 000 à 50 000 REUSS par quiz selon le niveau</w:t>
      </w:r>
    </w:p>
    <w:p>
      <w:pPr>
        <w:pStyle w:val="ListParagraph"/>
        <w:numPr>
          <w:ilvl w:val="0"/>
          <w:numId w:val="2"/>
        </w:numPr>
        <w:spacing w:before="60" w:after="60"/>
      </w:pPr>
      <w:r>
        <w:rPr>
          <w:rFonts w:ascii="Arial" w:cs="Arial" w:eastAsia="Arial" w:hAnsi="Arial"/>
          <w:color w:val="1E293B"/>
          <w:sz w:val="22"/>
          <w:szCs w:val="22"/>
        </w:rPr>
        <w:t xml:space="preserve">GAMMA-3 (Staking Rewards) : Source Treasury REUSS — APR de 10 à 20% pour les holders stakés</w:t>
      </w:r>
    </w:p>
    <w:p>
      <w:pPr>
        <w:spacing w:before="120" w:after="120"/>
      </w:pPr>
      <w:r>
        <w:t xml:space="preserve"/>
      </w:r>
    </w:p>
    <w:p>
      <w:pPr>
        <w:pStyle w:val="Heading2"/>
        <w:spacing w:before="280" w:after="120"/>
      </w:pPr>
      <w:r>
        <w:rPr>
          <w:rFonts w:ascii="Arial" w:cs="Arial" w:eastAsia="Arial" w:hAnsi="Arial"/>
          <w:b/>
          <w:bCs/>
          <w:color w:val="7C3AED"/>
          <w:sz w:val="26"/>
          <w:szCs w:val="26"/>
        </w:rPr>
        <w:t xml:space="preserve">5.3 Niveaux de récompenses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Niveau Quiz</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Récompense REUSS</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Difficulté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Quiz basique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1 000 REUSS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Débutant</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Quiz standard</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5 000 REUSS</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Intermédiaire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Quiz difficile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10 000 REUSS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Avancé</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Quiz champion</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50 000 REUSS</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Expert</w:t>
            </w:r>
          </w:p>
        </w:tc>
      </w:tr>
    </w:tbl>
    <w:p>
      <w:pPr>
        <w:spacing w:before="120" w:after="120"/>
      </w:pPr>
      <w:r>
        <w:t xml:space="preserve"/>
      </w:r>
    </w:p>
    <w:p>
      <w:pPr>
        <w:pStyle w:val="Heading2"/>
        <w:spacing w:before="280" w:after="120"/>
      </w:pPr>
      <w:r>
        <w:rPr>
          <w:rFonts w:ascii="Arial" w:cs="Arial" w:eastAsia="Arial" w:hAnsi="Arial"/>
          <w:b/>
          <w:bCs/>
          <w:color w:val="7C3AED"/>
          <w:sz w:val="26"/>
          <w:szCs w:val="26"/>
        </w:rPr>
        <w:t xml:space="preserve">5.4 Tiers d'accès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Cashback Amazon</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Bronze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Fonctions de base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Silver</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NEURO-X standard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NEURO-X avancé + priorité</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Platinum</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Accès complet + gouvernance</w:t>
            </w:r>
          </w:p>
        </w:tc>
      </w:tr>
    </w:tbl>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6. Utilité du Token REUSS</w:t>
      </w:r>
    </w:p>
    <w:p>
      <w:pPr>
        <w:pStyle w:val="Heading2"/>
        <w:spacing w:before="280" w:after="120"/>
      </w:pPr>
      <w:r>
        <w:rPr>
          <w:rFonts w:ascii="Arial" w:cs="Arial" w:eastAsia="Arial" w:hAnsi="Arial"/>
          <w:b/>
          <w:bCs/>
          <w:color w:val="7C3AED"/>
          <w:sz w:val="26"/>
          <w:szCs w:val="26"/>
        </w:rPr>
        <w:t xml:space="preserve">6.1 Récompenses éducatives</w:t>
      </w:r>
    </w:p>
    <w:p>
      <w:pPr>
        <w:spacing w:before="80" w:after="80"/>
        <w:jc w:val="both"/>
      </w:pPr>
      <w:r>
        <w:rPr>
          <w:rFonts w:ascii="Arial" w:cs="Arial" w:eastAsia="Arial" w:hAnsi="Arial"/>
          <w:b w:val="false"/>
          <w:bCs w:val="false"/>
          <w:i w:val="false"/>
          <w:iCs w:val="false"/>
          <w:color w:val="1E293B"/>
          <w:sz w:val="22"/>
          <w:szCs w:val="22"/>
        </w:rPr>
        <w:t xml:space="preserve">Chaque quiz complété sur reussitess.fr génère des REUSS pour l'utilisateur via le vecteur GAMMA-2. Plus le niveau est élevé, plus la récompense est importante. Ce mécanisme crée une incitation forte à l'apprentissage et fidélise la communauté.</w:t>
      </w:r>
    </w:p>
    <w:p>
      <w:pPr>
        <w:pStyle w:val="Heading2"/>
        <w:spacing w:before="280" w:after="120"/>
      </w:pPr>
      <w:r>
        <w:rPr>
          <w:rFonts w:ascii="Arial" w:cs="Arial" w:eastAsia="Arial" w:hAnsi="Arial"/>
          <w:b/>
          <w:bCs/>
          <w:color w:val="7C3AED"/>
          <w:sz w:val="26"/>
          <w:szCs w:val="26"/>
        </w:rPr>
        <w:t>6.2 Récompenses Communautaires REUSSITESS®</w:t>
      </w:r>
    </w:p>
    <w:p>
      <w:pPr>
        <w:spacing w:before="80" w:after="80"/>
        <w:jc w:val="both"/>
      </w:pPr>
      <w:r>
        <w:rPr>
          <w:rFonts w:ascii="Arial" w:cs="Arial" w:eastAsia="Arial" w:hAnsi="Arial"/>
          <w:b w:val="false"/>
          <w:bCs w:val="false"/>
          <w:i w:val="false"/>
          <w:iCs w:val="false"/>
          <w:color w:val="1E293B"/>
          <w:sz w:val="22"/>
          <w:szCs w:val="22"/>
        </w:rPr>
        <w:t>Les revenus générés par l'écosystème REUSSITESS® (boutiques Amazon, GoMining, partenariats) alimentent le vecteur GAMMA-1 pour distribuer des récompenses communautaires en REUSS. Ces récompenses sont attribuées indépendamment du programme Amazon Associates, conformément aux conditions d'utilisation Amazon et au droit de la consommation applicable dans les 14 pays partenaires.</w:t>
      </w:r>
    </w:p>
    <w:p>
      <w:pPr>
        <w:pStyle w:val="Heading2"/>
        <w:spacing w:before="280" w:after="120"/>
      </w:pPr>
      <w:r>
        <w:rPr>
          <w:rFonts w:ascii="Arial" w:cs="Arial" w:eastAsia="Arial" w:hAnsi="Arial"/>
          <w:b/>
          <w:bCs/>
          <w:color w:val="7C3AED"/>
          <w:sz w:val="26"/>
          <w:szCs w:val="26"/>
        </w:rPr>
        <w:t xml:space="preserve">6.3 Staking et revenus passifs</w:t>
      </w:r>
    </w:p>
    <w:p>
      <w:pPr>
        <w:spacing w:before="80" w:after="80"/>
        <w:jc w:val="both"/>
      </w:pPr>
      <w:r>
        <w:rPr>
          <w:rFonts w:ascii="Arial" w:cs="Arial" w:eastAsia="Arial" w:hAnsi="Arial"/>
          <w:b w:val="false"/>
          <w:bCs w:val="false"/>
          <w:i w:val="false"/>
          <w:iCs w:val="false"/>
          <w:color w:val="1E293B"/>
          <w:sz w:val="22"/>
          <w:szCs w:val="22"/>
        </w:rPr>
        <w:t xml:space="preserve">Les détenteurs de REUSS peuvent staker leurs tokens pour recevoir un APR de 10 à 20% via GAMMA-3. Le principe : 1 REUSS staké = 1 vote dans la gouvernance de la plateforme.</w:t>
      </w:r>
    </w:p>
    <w:p>
      <w:pPr>
        <w:pStyle w:val="Heading2"/>
        <w:spacing w:before="280" w:after="120"/>
      </w:pPr>
      <w:r>
        <w:rPr>
          <w:rFonts w:ascii="Arial" w:cs="Arial" w:eastAsia="Arial" w:hAnsi="Arial"/>
          <w:b/>
          <w:bCs/>
          <w:color w:val="7C3AED"/>
          <w:sz w:val="26"/>
          <w:szCs w:val="26"/>
        </w:rPr>
        <w:t xml:space="preserve">6.4 Accès Premium et services</w:t>
      </w:r>
    </w:p>
    <w:p>
      <w:pPr>
        <w:pStyle w:val="ListParagraph"/>
        <w:numPr>
          <w:ilvl w:val="0"/>
          <w:numId w:val="2"/>
        </w:numPr>
        <w:spacing w:before="60" w:after="60"/>
      </w:pPr>
      <w:r>
        <w:rPr>
          <w:rFonts w:ascii="Arial" w:cs="Arial" w:eastAsia="Arial" w:hAnsi="Arial"/>
          <w:color w:val="1E293B"/>
          <w:sz w:val="22"/>
          <w:szCs w:val="22"/>
        </w:rPr>
        <w:t xml:space="preserve">Accès prioritaire à Reussitess®NEURO-X selon le tier détenu</w:t>
      </w:r>
    </w:p>
    <w:p>
      <w:pPr>
        <w:pStyle w:val="ListParagraph"/>
        <w:numPr>
          <w:ilvl w:val="0"/>
          <w:numId w:val="2"/>
        </w:numPr>
        <w:spacing w:before="60" w:after="60"/>
      </w:pPr>
      <w:r>
        <w:rPr>
          <w:rFonts w:ascii="Arial" w:cs="Arial" w:eastAsia="Arial" w:hAnsi="Arial"/>
          <w:color w:val="1E293B"/>
          <w:sz w:val="22"/>
          <w:szCs w:val="22"/>
        </w:rPr>
        <w:t xml:space="preserve">Déblocage de quiz et contenus exclusifs</w:t>
      </w:r>
    </w:p>
    <w:p>
      <w:pPr>
        <w:pStyle w:val="ListParagraph"/>
        <w:numPr>
          <w:ilvl w:val="0"/>
          <w:numId w:val="2"/>
        </w:numPr>
        <w:spacing w:before="60" w:after="60"/>
      </w:pPr>
      <w:r>
        <w:rPr>
          <w:rFonts w:ascii="Arial" w:cs="Arial" w:eastAsia="Arial" w:hAnsi="Arial"/>
          <w:color w:val="1E293B"/>
          <w:sz w:val="22"/>
          <w:szCs w:val="22"/>
        </w:rPr>
        <w:t xml:space="preserve">Bonus de parrainage GoMining pour les holders actifs</w:t>
      </w:r>
    </w:p>
    <w:p>
      <w:pPr>
        <w:pStyle w:val="ListParagraph"/>
        <w:numPr>
          <w:ilvl w:val="0"/>
          <w:numId w:val="2"/>
        </w:numPr>
        <w:spacing w:before="60" w:after="60"/>
      </w:pPr>
      <w:r>
        <w:rPr>
          <w:rFonts w:ascii="Arial" w:cs="Arial" w:eastAsia="Arial" w:hAnsi="Arial"/>
          <w:color w:val="1E293B"/>
          <w:sz w:val="22"/>
          <w:szCs w:val="22"/>
        </w:rPr>
        <w:t xml:space="preserve">Accès anticipé aux nouvelles fonctionnalités de l'écosystème</w:t>
      </w:r>
    </w:p>
    <w:p>
      <w:pPr>
        <w:pStyle w:val="ListParagraph"/>
        <w:numPr>
          <w:ilvl w:val="0"/>
          <w:numId w:val="2"/>
        </w:numPr>
        <w:spacing w:before="60" w:after="60"/>
      </w:pPr>
      <w:r>
        <w:rPr>
          <w:rFonts w:ascii="Arial" w:cs="Arial" w:eastAsia="Arial" w:hAnsi="Arial"/>
          <w:color w:val="1E293B"/>
          <w:sz w:val="22"/>
          <w:szCs w:val="22"/>
        </w:rPr>
        <w:t xml:space="preserve">Réductions sur les boutiques Amazon partenaires selon le tier</w:t>
      </w:r>
    </w:p>
    <w:p>
      <w:pPr>
        <w:pStyle w:val="Heading2"/>
        <w:spacing w:before="280" w:after="120"/>
      </w:pPr>
      <w:r>
        <w:rPr>
          <w:rFonts w:ascii="Arial" w:cs="Arial" w:eastAsia="Arial" w:hAnsi="Arial"/>
          <w:b/>
          <w:bCs/>
          <w:color w:val="7C3AED"/>
          <w:sz w:val="26"/>
          <w:szCs w:val="26"/>
        </w:rPr>
        <w:t xml:space="preserve">6.5 Gouvernance décentralisée</w:t>
      </w:r>
    </w:p>
    <w:p>
      <w:pPr>
        <w:spacing w:before="80" w:after="80"/>
        <w:jc w:val="both"/>
      </w:pPr>
      <w:r>
        <w:rPr>
          <w:rFonts w:ascii="Arial" w:cs="Arial" w:eastAsia="Arial" w:hAnsi="Arial"/>
          <w:b w:val="false"/>
          <w:bCs w:val="false"/>
          <w:i w:val="false"/>
          <w:iCs w:val="false"/>
          <w:color w:val="1E293B"/>
          <w:sz w:val="22"/>
          <w:szCs w:val="22"/>
        </w:rPr>
        <w:t xml:space="preserve">Les holders de REUSS stakés participent aux décisions de la plateforme : ajout de nouveaux pays, nouvelles catégories de quiz, allocation du treasury, partenariats stratégiques. Chaque REUSS staké représente un droit de vote.</w:t>
      </w:r>
    </w:p>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7. Roadmap &amp; Objectifs</w:t>
      </w:r>
    </w:p>
    <w:p>
      <w:pPr>
        <w:pStyle w:val="Heading2"/>
        <w:spacing w:before="280" w:after="120"/>
      </w:pPr>
      <w:r>
        <w:rPr>
          <w:rFonts w:ascii="Arial" w:cs="Arial" w:eastAsia="Arial" w:hAnsi="Arial"/>
          <w:b/>
          <w:bCs/>
          <w:color w:val="7C3AED"/>
          <w:sz w:val="26"/>
          <w:szCs w:val="26"/>
        </w:rPr>
        <w:t xml:space="preserve">7.1 Court terme — 3 mois (T1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Actuel</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Objectif 3 mois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Holders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1 000</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Pool TVL</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$0.04</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$20 000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Prix REUSS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$0.0001</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Volume daily</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$1 000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Revenus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5 000€/mois</w:t>
            </w:r>
          </w:p>
        </w:tc>
      </w:tr>
    </w:tbl>
    <w:p>
      <w:pPr>
        <w:spacing w:before="120" w:after="120"/>
      </w:pPr>
      <w:r>
        <w:t xml:space="preserve"/>
      </w:r>
    </w:p>
    <w:p>
      <w:pPr>
        <w:pStyle w:val="Heading2"/>
        <w:spacing w:before="280" w:after="120"/>
      </w:pPr>
      <w:r>
        <w:rPr>
          <w:rFonts w:ascii="Arial" w:cs="Arial" w:eastAsia="Arial" w:hAnsi="Arial"/>
          <w:b/>
          <w:bCs/>
          <w:color w:val="7C3AED"/>
          <w:sz w:val="26"/>
          <w:szCs w:val="26"/>
        </w:rPr>
        <w:t xml:space="preserve">7.2 Moyen terme — 6 mois (T2-T3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Départ</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Objectif 6 mois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Holders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10 000</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Pool TVL</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$20k</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$100 000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Prix REUSS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$0.001</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Volume daily</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$1k</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$10 000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Revenus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15 000€/mois</w:t>
            </w:r>
          </w:p>
        </w:tc>
      </w:tr>
    </w:tbl>
    <w:p>
      <w:pPr>
        <w:spacing w:before="120" w:after="120"/>
      </w:pPr>
      <w:r>
        <w:t xml:space="preserve"/>
      </w:r>
    </w:p>
    <w:p>
      <w:pPr>
        <w:pStyle w:val="Heading2"/>
        <w:spacing w:before="280" w:after="120"/>
      </w:pPr>
      <w:r>
        <w:rPr>
          <w:rFonts w:ascii="Arial" w:cs="Arial" w:eastAsia="Arial" w:hAnsi="Arial"/>
          <w:b/>
          <w:bCs/>
          <w:color w:val="7C3AED"/>
          <w:sz w:val="26"/>
          <w:szCs w:val="26"/>
        </w:rPr>
        <w:t xml:space="preserve">7.3 Long terme — 12 mois (T4 2026)</w:t>
      </w:r>
    </w:p>
    <w:p>
      <w:pPr>
        <w:pStyle w:val="ListParagraph"/>
        <w:numPr>
          <w:ilvl w:val="0"/>
          <w:numId w:val="2"/>
        </w:numPr>
        <w:spacing w:before="60" w:after="60"/>
      </w:pPr>
      <w:r>
        <w:rPr>
          <w:rFonts w:ascii="Arial" w:cs="Arial" w:eastAsia="Arial" w:hAnsi="Arial"/>
          <w:color w:val="1E293B"/>
          <w:sz w:val="22"/>
          <w:szCs w:val="22"/>
        </w:rPr>
        <w:t xml:space="preserve">Holders : 10 000 → 100 000</w:t>
      </w:r>
    </w:p>
    <w:p>
      <w:pPr>
        <w:pStyle w:val="ListParagraph"/>
        <w:numPr>
          <w:ilvl w:val="0"/>
          <w:numId w:val="2"/>
        </w:numPr>
        <w:spacing w:before="60" w:after="60"/>
      </w:pPr>
      <w:r>
        <w:rPr>
          <w:rFonts w:ascii="Arial" w:cs="Arial" w:eastAsia="Arial" w:hAnsi="Arial"/>
          <w:color w:val="1E293B"/>
          <w:sz w:val="22"/>
          <w:szCs w:val="22"/>
        </w:rPr>
        <w:t>Pool TVL : $100k → $1 000 000 (objectif prévisionnel non garanti)</w:t>
      </w:r>
    </w:p>
    <w:p>
      <w:pPr>
        <w:pStyle w:val="ListParagraph"/>
        <w:numPr>
          <w:ilvl w:val="0"/>
          <w:numId w:val="2"/>
        </w:numPr>
        <w:spacing w:before="60" w:after="60"/>
      </w:pPr>
      <w:r>
        <w:rPr>
          <w:rFonts w:ascii="Arial" w:cs="Arial" w:eastAsia="Arial" w:hAnsi="Arial"/>
          <w:color w:val="1E293B"/>
          <w:sz w:val="22"/>
          <w:szCs w:val="22"/>
        </w:rPr>
        <w:t>Prix REUSS : $0.001 → $0.01 (objectif prévisionnel non garanti)</w:t>
      </w:r>
    </w:p>
    <w:p>
      <w:pPr>
        <w:pStyle w:val="ListParagraph"/>
        <w:numPr>
          <w:ilvl w:val="0"/>
          <w:numId w:val="2"/>
        </w:numPr>
        <w:spacing w:before="60" w:after="60"/>
      </w:pPr>
      <w:r>
        <w:rPr>
          <w:rFonts w:ascii="Arial" w:cs="Arial" w:eastAsia="Arial" w:hAnsi="Arial"/>
          <w:color w:val="1E293B"/>
          <w:sz w:val="22"/>
          <w:szCs w:val="22"/>
        </w:rPr>
        <w:t xml:space="preserve">Listing CoinGecko, CoinMarketCap, CEX tier 2</w:t>
      </w:r>
    </w:p>
    <w:p>
      <w:pPr>
        <w:pStyle w:val="ListParagraph"/>
        <w:numPr>
          <w:ilvl w:val="0"/>
          <w:numId w:val="2"/>
        </w:numPr>
        <w:spacing w:before="60" w:after="60"/>
      </w:pPr>
      <w:r>
        <w:rPr>
          <w:rFonts w:ascii="Arial" w:cs="Arial" w:eastAsia="Arial" w:hAnsi="Arial"/>
          <w:color w:val="1E293B"/>
          <w:sz w:val="22"/>
          <w:szCs w:val="22"/>
        </w:rPr>
        <w:t xml:space="preserve">Revenus : 15k€ → 50 000€/mois</w:t>
      </w:r>
    </w:p>
    <w:p>
      <w:pPr>
        <w:pStyle w:val="ListParagraph"/>
        <w:numPr>
          <w:ilvl w:val="0"/>
          <w:numId w:val="2"/>
        </w:numPr>
        <w:spacing w:before="60" w:after="60"/>
      </w:pPr>
      <w:r>
        <w:rPr>
          <w:rFonts w:ascii="Arial" w:cs="Arial" w:eastAsia="Arial" w:hAnsi="Arial"/>
          <w:color w:val="1E293B"/>
          <w:sz w:val="22"/>
          <w:szCs w:val="22"/>
        </w:rPr>
        <w:t xml:space="preserve">Équipe : 1 → 5 à 10 personnes</w:t>
      </w:r>
    </w:p>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8.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14 · TypeScript · Tailwind CSS · React 18</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State Management</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Zustand / Context API</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Backend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API Routes · Node.js</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Base de données</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PostgreSQL / Supabase</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Blockchain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Polygon POS · Ethers.js v6 · MetaMask</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RPC</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Polygon Public RPC</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IA / 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(Anthropic) · 200 agents custom · TensorFlow.js</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Commerce</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Amazon PA-API 5.0 · 26 storefronts</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Analytics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Analytics · Moralis API</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Hébergement</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Vercel · reussitess.fr</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Gmail / SendGrid</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Sécurité gas</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REQUIRE_OWNER_APPROVAL : true · MAX_GAS_WITHOUT_APPROVAL : 0</w:t>
            </w:r>
          </w:p>
        </w:tc>
      </w:tr>
    </w:tbl>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9. Sécurité &amp; Gouvernance</w:t>
      </w:r>
    </w:p>
    <w:p>
      <w:pPr>
        <w:pStyle w:val="Heading2"/>
        <w:spacing w:before="280" w:after="120"/>
      </w:pPr>
      <w:r>
        <w:rPr>
          <w:rFonts w:ascii="Arial" w:cs="Arial" w:eastAsia="Arial" w:hAnsi="Arial"/>
          <w:b/>
          <w:bCs/>
          <w:color w:val="7C3AED"/>
          <w:sz w:val="26"/>
          <w:szCs w:val="26"/>
        </w:rPr>
        <w:t xml:space="preserve">9.1 Contrôle gas strict</w:t>
      </w:r>
    </w:p>
    <w:p>
      <w:pPr>
        <w:spacing w:before="80" w:after="80"/>
        <w:jc w:val="both"/>
      </w:pPr>
      <w:r>
        <w:rPr>
          <w:rFonts w:ascii="Arial" w:cs="Arial" w:eastAsia="Arial" w:hAnsi="Arial"/>
          <w:b w:val="false"/>
          <w:bCs w:val="false"/>
          <w:i w:val="false"/>
          <w:iCs w:val="false"/>
          <w:color w:val="1E293B"/>
          <w:sz w:val="22"/>
          <w:szCs w:val="22"/>
        </w:rPr>
        <w:t xml:space="preserve">RÈGLE ABSOLUE : Aucun agent IA ne peut utiliser le gas sans autorisation explicite du Owner. Le paramètre GAS_CONTROL impose REQUIRE_OWNER_APPROVAL: true et MAX_GAS_WITHOUT_APPROVAL: 0. Toute opération blockchain nécessite validation humaine.</w:t>
      </w:r>
    </w:p>
    <w:p>
      <w:pPr>
        <w:pStyle w:val="Heading2"/>
        <w:spacing w:before="280" w:after="120"/>
      </w:pPr>
      <w:r>
        <w:rPr>
          <w:rFonts w:ascii="Arial" w:cs="Arial" w:eastAsia="Arial" w:hAnsi="Arial"/>
          <w:b/>
          <w:bCs/>
          <w:color w:val="7C3AED"/>
          <w:sz w:val="26"/>
          <w:szCs w:val="26"/>
        </w:rPr>
        <w:t xml:space="preserve">9.2 Réserve de sécurisation</w:t>
      </w:r>
    </w:p>
    <w:p>
      <w:pPr>
        <w:spacing w:before="80" w:after="80"/>
        <w:jc w:val="both"/>
      </w:pPr>
      <w:r>
        <w:rPr>
          <w:rFonts w:ascii="Arial" w:cs="Arial" w:eastAsia="Arial" w:hAnsi="Arial"/>
          <w:b w:val="false"/>
          <w:bCs w:val="false"/>
          <w:i w:val="false"/>
          <w:iCs w:val="false"/>
          <w:color w:val="1E293B"/>
          <w:sz w:val="22"/>
          <w:szCs w:val="22"/>
        </w:rPr>
        <w:t xml:space="preserve">Une adresse dédiée (0xbe8777aB450937bf107090F4F5F7c4834Db079cF) sert de coffre-fort pour la réserve principale. Elle est surveillée en permanence par 40 Sentinelles IA réparties en 4 groupes de 10 : monitoring contrat, pool liquidité, réserve et boutiques.</w:t>
      </w:r>
    </w:p>
    <w:p>
      <w:pPr>
        <w:pStyle w:val="Heading2"/>
        <w:spacing w:before="280" w:after="120"/>
      </w:pPr>
      <w:r>
        <w:rPr>
          <w:rFonts w:ascii="Arial" w:cs="Arial" w:eastAsia="Arial" w:hAnsi="Arial"/>
          <w:b/>
          <w:bCs/>
          <w:color w:val="7C3AED"/>
          <w:sz w:val="26"/>
          <w:szCs w:val="26"/>
        </w:rPr>
        <w:t xml:space="preserve">9.3 Multi-Sig (à mettre en place)</w:t>
      </w:r>
    </w:p>
    <w:p>
      <w:pPr>
        <w:spacing w:before="80" w:after="80"/>
        <w:jc w:val="both"/>
      </w:pPr>
      <w:r>
        <w:rPr>
          <w:rFonts w:ascii="Arial" w:cs="Arial" w:eastAsia="Arial" w:hAnsi="Arial"/>
          <w:b w:val="false"/>
          <w:bCs w:val="false"/>
          <w:i w:val="false"/>
          <w:iCs w:val="false"/>
          <w:color w:val="1E293B"/>
          <w:sz w:val="22"/>
          <w:szCs w:val="22"/>
        </w:rPr>
        <w:t xml:space="preserve">Il est fortement recommandé de migrer le ownership vers un wallet multi-signature 3/5 impliquant le fondateur et 2 à 4 personnes de confiance. Cela protège la réserve de 978 millions de REUSS contre toute compromission d'un wallet unique.</w:t>
      </w:r>
    </w:p>
    <w:p>
      <w:pPr>
        <w:pStyle w:val="Heading2"/>
        <w:spacing w:before="280" w:after="120"/>
      </w:pPr>
      <w:r>
        <w:rPr>
          <w:rFonts w:ascii="Arial" w:cs="Arial" w:eastAsia="Arial" w:hAnsi="Arial"/>
          <w:b/>
          <w:bCs/>
          <w:color w:val="7C3AED"/>
          <w:sz w:val="26"/>
          <w:szCs w:val="26"/>
        </w:rPr>
        <w:t xml:space="preserve">9.4 Transparence on-chain</w:t>
      </w:r>
    </w:p>
    <w:p>
      <w:pPr>
        <w:pStyle w:val="ListParagraph"/>
        <w:numPr>
          <w:ilvl w:val="0"/>
          <w:numId w:val="2"/>
        </w:numPr>
        <w:spacing w:before="60" w:after="60"/>
      </w:pPr>
      <w:r>
        <w:rPr>
          <w:rFonts w:ascii="Arial" w:cs="Arial" w:eastAsia="Arial" w:hAnsi="Arial"/>
          <w:color w:val="1E293B"/>
          <w:sz w:val="22"/>
          <w:szCs w:val="22"/>
        </w:rPr>
        <w:t xml:space="preserve">Token REUSS : polygonscan.com/token/0xB37531727fC07c6EED4f97F852A115B428046EB2</w:t>
      </w:r>
    </w:p>
    <w:p>
      <w:pPr>
        <w:pStyle w:val="ListParagraph"/>
        <w:numPr>
          <w:ilvl w:val="0"/>
          <w:numId w:val="2"/>
        </w:numPr>
        <w:spacing w:before="60" w:after="60"/>
      </w:pPr>
      <w:r>
        <w:rPr>
          <w:rFonts w:ascii="Arial" w:cs="Arial" w:eastAsia="Arial" w:hAnsi="Arial"/>
          <w:color w:val="1E293B"/>
          <w:sz w:val="22"/>
          <w:szCs w:val="22"/>
        </w:rPr>
        <w:t xml:space="preserve">Réserve : polygonscan.com/address/0xbe8777aB450937bf107090F4F5F7c4834Db079cF</w:t>
      </w:r>
    </w:p>
    <w:p>
      <w:pPr>
        <w:pStyle w:val="ListParagraph"/>
        <w:numPr>
          <w:ilvl w:val="0"/>
          <w:numId w:val="2"/>
        </w:numPr>
        <w:spacing w:before="60" w:after="60"/>
      </w:pPr>
      <w:r>
        <w:rPr>
          <w:rFonts w:ascii="Arial" w:cs="Arial" w:eastAsia="Arial" w:hAnsi="Arial"/>
          <w:color w:val="1E293B"/>
          <w:sz w:val="22"/>
          <w:szCs w:val="22"/>
        </w:rPr>
        <w:t xml:space="preserve">Pool QuickSwap : polygonscan.com/address/0x1d2e88A55CBBAB68237aa10781a5e00335Af9f9c</w:t>
      </w:r>
    </w:p>
    <w:p>
      <w:pPr>
        <w:pStyle w:val="ListParagraph"/>
        <w:numPr>
          <w:ilvl w:val="0"/>
          <w:numId w:val="2"/>
        </w:numPr>
        <w:spacing w:before="60" w:after="60"/>
      </w:pPr>
      <w:r>
        <w:rPr>
          <w:rFonts w:ascii="Arial" w:cs="Arial" w:eastAsia="Arial" w:hAnsi="Arial"/>
          <w:color w:val="1E293B"/>
          <w:sz w:val="22"/>
          <w:szCs w:val="22"/>
        </w:rPr>
        <w:t xml:space="preserve">Birdeye : birdeye.so/token/0xB37531...?chain=polygon</w:t>
      </w:r>
    </w:p>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10. Conformité Juridique</w:t>
      </w:r>
    </w:p>
    <w:p>
      <w:pPr>
        <w:pStyle w:val="Heading2"/>
        <w:spacing w:before="280" w:after="120"/>
      </w:pPr>
      <w:r>
        <w:rPr>
          <w:rFonts w:ascii="Arial" w:cs="Arial" w:eastAsia="Arial" w:hAnsi="Arial"/>
          <w:b/>
          <w:bCs/>
          <w:color w:val="7C3AED"/>
          <w:sz w:val="26"/>
          <w:szCs w:val="26"/>
        </w:rPr>
        <w:t xml:space="preserve">10.1 Classification</w:t>
      </w:r>
    </w:p>
    <w:p>
      <w:pPr>
        <w:spacing w:before="80" w:after="80"/>
        <w:jc w:val="both"/>
      </w:pPr>
      <w:r>
        <w:rPr>
          <w:rFonts w:ascii="Arial" w:cs="Arial" w:eastAsia="Arial" w:hAnsi="Arial"/>
          <w:b w:val="false"/>
          <w:bCs w:val="false"/>
          <w:i w:val="false"/>
          <w:iCs w:val="false"/>
          <w:color w:val="1E293B"/>
          <w:sz w:val="22"/>
          <w:szCs w:val="22"/>
        </w:rPr>
        <w:t>REUSS est classifié comme Utility Token donnant accès aux services de l'écosystème Reussitess® : récompenses communautaires, accès IA, récompenses quiz et gouvernance. La conformité est en cours de mise en place dans les 14 pays opérationnels.</w:t>
      </w:r>
    </w:p>
    <w:p>
      <w:pPr>
        <w:pStyle w:val="Heading2"/>
        <w:spacing w:before="280" w:after="120"/>
      </w:pPr>
      <w:r>
        <w:rPr>
          <w:rFonts w:ascii="Arial" w:cs="Arial" w:eastAsia="Arial" w:hAnsi="Arial"/>
          <w:b/>
          <w:bCs/>
          <w:color w:val="7C3AED"/>
          <w:sz w:val="26"/>
          <w:szCs w:val="26"/>
        </w:rPr>
        <w:t xml:space="preserve">10.2 Actions requises</w:t>
      </w:r>
    </w:p>
    <w:p>
      <w:pPr>
        <w:pStyle w:val="ListParagraph"/>
        <w:numPr>
          <w:ilvl w:val="0"/>
          <w:numId w:val="2"/>
        </w:numPr>
        <w:spacing w:before="60" w:after="60"/>
      </w:pPr>
      <w:r>
        <w:rPr>
          <w:rFonts w:ascii="Arial" w:cs="Arial" w:eastAsia="Arial" w:hAnsi="Arial"/>
          <w:color w:val="1E293B"/>
          <w:sz w:val="22"/>
          <w:szCs w:val="22"/>
        </w:rPr>
        <w:t xml:space="preserve">Enregistrement PSAN auprès de l'AMF (France)</w:t>
      </w:r>
    </w:p>
    <w:p>
      <w:pPr>
        <w:pStyle w:val="ListParagraph"/>
        <w:numPr>
          <w:ilvl w:val="0"/>
          <w:numId w:val="2"/>
        </w:numPr>
        <w:spacing w:before="60" w:after="60"/>
      </w:pPr>
      <w:r>
        <w:rPr>
          <w:rFonts w:ascii="Arial" w:cs="Arial" w:eastAsia="Arial" w:hAnsi="Arial"/>
          <w:color w:val="1E293B"/>
          <w:sz w:val="22"/>
          <w:szCs w:val="22"/>
        </w:rPr>
        <w:t xml:space="preserve">Whitepaper MiCA-compliant (réglementation européenne 2024)</w:t>
      </w:r>
    </w:p>
    <w:p>
      <w:pPr>
        <w:pStyle w:val="ListParagraph"/>
        <w:numPr>
          <w:ilvl w:val="0"/>
          <w:numId w:val="2"/>
        </w:numPr>
        <w:spacing w:before="60" w:after="60"/>
      </w:pPr>
      <w:r>
        <w:rPr>
          <w:rFonts w:ascii="Arial" w:cs="Arial" w:eastAsia="Arial" w:hAnsi="Arial"/>
          <w:color w:val="1E293B"/>
          <w:sz w:val="22"/>
          <w:szCs w:val="22"/>
        </w:rPr>
        <w:t xml:space="preserve">Legal opinions dans les 14 pays partenaires</w:t>
      </w:r>
    </w:p>
    <w:p>
      <w:pPr>
        <w:pStyle w:val="ListParagraph"/>
        <w:numPr>
          <w:ilvl w:val="0"/>
          <w:numId w:val="2"/>
        </w:numPr>
        <w:spacing w:before="60" w:after="60"/>
      </w:pPr>
      <w:r>
        <w:rPr>
          <w:rFonts w:ascii="Arial" w:cs="Arial" w:eastAsia="Arial" w:hAnsi="Arial"/>
          <w:color w:val="1E293B"/>
          <w:sz w:val="22"/>
          <w:szCs w:val="22"/>
        </w:rPr>
        <w:t xml:space="preserve">Procédures KYC / AML pour les gros volumes</w:t>
      </w:r>
    </w:p>
    <w:p>
      <w:pPr>
        <w:pStyle w:val="ListParagraph"/>
        <w:numPr>
          <w:ilvl w:val="0"/>
          <w:numId w:val="2"/>
        </w:numPr>
        <w:spacing w:before="60" w:after="60"/>
      </w:pPr>
      <w:r>
        <w:rPr>
          <w:rFonts w:ascii="Arial" w:cs="Arial" w:eastAsia="Arial" w:hAnsi="Arial"/>
          <w:color w:val="1E293B"/>
          <w:sz w:val="22"/>
          <w:szCs w:val="22"/>
        </w:rPr>
        <w:t xml:space="preserve">Terms of Service et Privacy Policy conformes RGPD</w:t>
      </w:r>
    </w:p>
    <w:p>
      <w:pPr>
        <w:pStyle w:val="Heading2"/>
        <w:spacing w:before="280" w:after="120"/>
      </w:pPr>
      <w:r>
        <w:rPr>
          <w:rFonts w:ascii="Arial" w:cs="Arial" w:eastAsia="Arial" w:hAnsi="Arial"/>
          <w:b/>
          <w:bCs/>
          <w:color w:val="7C3AED"/>
          <w:sz w:val="26"/>
          <w:szCs w:val="26"/>
        </w:rPr>
        <w:t xml:space="preserve">10.3 Budget conformité estimé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Setup An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45 000€</w:t>
            </w:r>
          </w:p>
        </w:tc>
      </w:tr>
      <w:tr>
        <w:tc>
          <w:tcPr>
            <w:tcW w:type="dxa" w:w="3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20"/>
                <w:szCs w:val="20"/>
              </w:rPr>
              <w:t xml:space="preserve">Récurrent annuel</w:t>
            </w:r>
          </w:p>
        </w:tc>
        <w:tc>
          <w:tcPr>
            <w:tcW w:type="dxa" w:w="58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75 000€</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4C1D95"/>
                <w:sz w:val="20"/>
                <w:szCs w:val="20"/>
              </w:rPr>
              <w:t xml:space="preserve">Seuil de rentabilité</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Revenus &gt; 10 000€/mois</w:t>
            </w:r>
          </w:p>
        </w:tc>
      </w:tr>
    </w:tbl>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11. Réseau Amazon — 26 Boutiques · 14 Pays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Pays</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Shops</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URL principale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USA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amazon.com/shop/amourguadeloupe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 France</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amazon.fr/shop/amourguadeloupe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Germany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amazon.de/shop/amourguadeloupe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 Italy</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amazon.it/shop/amourguadeloupe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Spain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amazon.es/shop/amourguadeloupe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 Canada</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amazon.ca/shop/amourguadeloupe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amazon.co.uk/shop/amourguadeloupe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 Australia</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amzlink.to/az05kTTrYJ06L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Belgium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amazon.com.be/shop/influencer-fb942837</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 India</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amazon.in/shop/amourguadeloupe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Netherlands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amazon.nl/shop/amourguadeloupe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 Sweden</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amazon.se/shop/amourguadeloupe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Singapore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amazon.sg/shop/amourguadeloupe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 Brazil</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amzlink.to/az0ymmoCLHvyA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Tag affilié : ronyporinu0ac-21</w:t>
            </w:r>
          </w:p>
        </w:tc>
      </w:tr>
    </w:tbl>
    <w:p>
      <w:r>
        <w:br w:type="page"/>
      </w:r>
    </w:p>
    <w:p>
      <w:pPr>
        <w:pStyle w:val="Heading1"/>
        <w:pBdr>
          <w:bottom w:val="single" w:color="7C3AED" w:sz="6" w:space="4"/>
        </w:pBdr>
        <w:spacing w:before="480" w:after="200"/>
      </w:pPr>
      <w:r>
        <w:rPr>
          <w:rFonts w:ascii="Arial" w:cs="Arial" w:eastAsia="Arial" w:hAnsi="Arial"/>
          <w:b/>
          <w:bCs/>
          <w:color w:val="1E293B"/>
          <w:sz w:val="34"/>
          <w:szCs w:val="34"/>
        </w:rPr>
        <w:t xml:space="preserve">12. Avertissements &amp; Disclaimers</w:t>
      </w:r>
    </w:p>
    <w:p>
      <w:pPr>
        <w:spacing w:before="80" w:after="80"/>
        <w:jc w:val="both"/>
      </w:pPr>
      <w:r>
        <w:rPr>
          <w:rFonts w:ascii="Arial" w:cs="Arial" w:eastAsia="Arial" w:hAnsi="Arial"/>
          <w:b w:val="false"/>
          <w:bCs w:val="false"/>
          <w:i w:val="false"/>
          <w:iCs w:val="false"/>
          <w:color w:val="1E293B"/>
          <w:sz w:val="22"/>
          <w:szCs w:val="22"/>
        </w:rPr>
        <w:t>Le token REUSS est un utility token donnant accès aux services de l'écosystème Reussitess® : récompenses communautaires, accès à l'IA NEURO-X, récompenses quiz éducatifs et gouvernance communautaire.</w:t>
      </w:r>
    </w:p>
    <w:p>
      <w:pPr>
        <w:spacing w:before="120" w:after="120"/>
      </w:pPr>
      <w:r>
        <w:t xml:space="preserve"/>
      </w:r>
    </w:p>
    <w:p>
      <w:pPr>
        <w:spacing w:before="80" w:after="80"/>
        <w:jc w:val="both"/>
      </w:pPr>
      <w:r>
        <w:rPr>
          <w:rFonts w:ascii="Arial" w:cs="Arial" w:eastAsia="Arial" w:hAnsi="Arial"/>
          <w:b/>
          <w:bCs/>
          <w:i w:val="false"/>
          <w:iCs w:val="false"/>
          <w:color w:val="1E293B"/>
          <w:sz w:val="22"/>
          <w:szCs w:val="22"/>
        </w:rPr>
        <w:t xml:space="preserve">REUSS N'EST PAS :</w:t>
      </w:r>
    </w:p>
    <w:p>
      <w:pPr>
        <w:pStyle w:val="ListParagraph"/>
        <w:numPr>
          <w:ilvl w:val="0"/>
          <w:numId w:val="2"/>
        </w:numPr>
        <w:spacing w:before="60" w:after="60"/>
      </w:pPr>
      <w:r>
        <w:rPr>
          <w:rFonts w:ascii="Arial" w:cs="Arial" w:eastAsia="Arial" w:hAnsi="Arial"/>
          <w:color w:val="1E293B"/>
          <w:sz w:val="22"/>
          <w:szCs w:val="22"/>
        </w:rPr>
        <w:t xml:space="preserve">Un security (valeur mobilière) au sens des réglementations AMF / SEC</w:t>
      </w:r>
    </w:p>
    <w:p>
      <w:pPr>
        <w:pStyle w:val="ListParagraph"/>
        <w:numPr>
          <w:ilvl w:val="0"/>
          <w:numId w:val="2"/>
        </w:numPr>
        <w:spacing w:before="60" w:after="60"/>
      </w:pPr>
      <w:r>
        <w:rPr>
          <w:rFonts w:ascii="Arial" w:cs="Arial" w:eastAsia="Arial" w:hAnsi="Arial"/>
          <w:color w:val="1E293B"/>
          <w:sz w:val="22"/>
          <w:szCs w:val="22"/>
        </w:rPr>
        <w:t xml:space="preserve">Une promesse de rendement financier garanti</w:t>
      </w:r>
    </w:p>
    <w:p>
      <w:pPr>
        <w:pStyle w:val="ListParagraph"/>
        <w:numPr>
          <w:ilvl w:val="0"/>
          <w:numId w:val="2"/>
        </w:numPr>
        <w:spacing w:before="60" w:after="60"/>
      </w:pPr>
      <w:r>
        <w:rPr>
          <w:rFonts w:ascii="Arial" w:cs="Arial" w:eastAsia="Arial" w:hAnsi="Arial"/>
          <w:color w:val="1E293B"/>
          <w:sz w:val="22"/>
          <w:szCs w:val="22"/>
        </w:rPr>
        <w:t xml:space="preserve">Un investissement dans une entreprise ou une action</w:t>
      </w:r>
    </w:p>
    <w:p>
      <w:pPr>
        <w:pStyle w:val="ListParagraph"/>
        <w:numPr>
          <w:ilvl w:val="0"/>
          <w:numId w:val="2"/>
        </w:numPr>
        <w:spacing w:before="60" w:after="60"/>
      </w:pPr>
      <w:r>
        <w:rPr>
          <w:rFonts w:ascii="Arial" w:cs="Arial" w:eastAsia="Arial" w:hAnsi="Arial"/>
          <w:color w:val="1E293B"/>
          <w:sz w:val="22"/>
          <w:szCs w:val="22"/>
        </w:rPr>
        <w:t xml:space="preserve">Une garantie de profit ou de plus-value</w:t>
      </w:r>
    </w:p>
    <w:p>
      <w:pPr>
        <w:spacing w:before="120" w:after="120"/>
      </w:pPr>
      <w:r>
        <w:t xml:space="preserve"/>
      </w:r>
    </w:p>
    <w:p>
      <w:pPr>
        <w:spacing w:before="80" w:after="80"/>
        <w:jc w:val="both"/>
      </w:pPr>
      <w:r>
        <w:rPr>
          <w:rFonts w:ascii="Arial" w:cs="Arial" w:eastAsia="Arial" w:hAnsi="Arial"/>
          <w:b w:val="false"/>
          <w:bCs w:val="false"/>
          <w:i w:val="false"/>
          <w:iCs w:val="false"/>
          <w:color w:val="1E293B"/>
          <w:sz w:val="22"/>
          <w:szCs w:val="22"/>
        </w:rPr>
        <w:t xml:space="preserve">La valeur de REUSS peut fluctuer. Les performances passées ne préjugent pas des performances futures. Consultez un conseiller financier avant toute décision d'investissement. Ce document est fourni à titre informatif uniquement.</w:t>
      </w:r>
    </w:p>
    <w:p>
      <w:pPr>
        <w:spacing w:before="120" w:after="120"/>
      </w:pPr>
      <w:r>
        <w:t xml:space="preserve"/>
      </w:r>
    </w:p>
    <w:p>
      <w:pPr>
        <w:spacing w:before="80" w:after="80"/>
        <w:jc w:val="both"/>
      </w:pPr>
      <w:r>
        <w:rPr>
          <w:rFonts w:ascii="Arial" w:cs="Arial" w:eastAsia="Arial" w:hAnsi="Arial"/>
          <w:b w:val="false"/>
          <w:bCs w:val="false"/>
          <w:i/>
          <w:iCs/>
          <w:color w:val="1E293B"/>
          <w:sz w:val="22"/>
          <w:szCs w:val="22"/>
        </w:rPr>
        <w:t xml:space="preserve">Document officiel — Toutes informations vérifiées et exactes au 16 Février 2026.</w:t>
      </w:r>
    </w:p>
    <w:p>
      <w:pPr>
        <w:spacing w:before="120" w:after="120"/>
      </w:pPr>
      <w:r>
        <w:t xml:space="preserve"/>
      </w:r>
    </w:p>
    <w:p>
      <w:pPr>
        <w:spacing w:before="120" w:after="120"/>
      </w:pPr>
      <w:r>
        <w:t xml:space="preserve"/>
      </w:r>
    </w:p>
    <w:p>
      <w:pPr>
        <w:pBdr>
          <w:top w:val="single" w:color="7C3AED" w:sz="4" w:space="8"/>
        </w:pBdr>
        <w:spacing w:before="200"/>
        <w:jc w:val="center"/>
      </w:pPr>
      <w:r>
        <w:rPr>
          <w:rFonts w:ascii="Arial" w:cs="Arial" w:eastAsia="Arial" w:hAnsi="Arial"/>
          <w:b/>
          <w:bCs/>
          <w:color w:val="7C3AED"/>
          <w:sz w:val="22"/>
          <w:szCs w:val="22"/>
        </w:rPr>
        <w:t xml:space="preserve">🌴  Guadeloupe, France  ·  Terres De Champions  ·  Positivité à l'Infini  ·  Boudoum  🌴</w:t>
      </w:r>
    </w:p>
    <w:p>
      <w:pPr>
        <w:jc w:val="center"/>
      </w:pPr>
      <w:r>
        <w:rPr>
          <w:rFonts w:ascii="Arial" w:cs="Arial" w:eastAsia="Arial" w:hAnsi="Arial"/>
          <w:color w:val="64748B"/>
          <w:sz w:val="20"/>
          <w:szCs w:val="20"/>
        </w:rPr>
        <w:t xml:space="preserve">Rony Porinus  |  rony.porinus@gmail.com  |  reussitess.fr  |  © 2026 Reussitess® Global Nexus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4A3B8"/>
        <w:sz w:val="16"/>
        <w:szCs w:val="16"/>
      </w:rPr>
      <w:t xml:space="preserve">© 2026 Reussitess® Global Nexus  |  reussitess.fr  |  rony.porinus@gmail.com  |  Page </w:t>
    </w:r>
    <w:r>
      <w:rPr>
        <w:rFonts w:ascii="Arial" w:cs="Arial" w:eastAsia="Arial" w:hAnsi="Arial"/>
        <w:color w:val="7C3AE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pPr>
    <w:r>
      <w:rPr>
        <w:rFonts w:ascii="Arial" w:cs="Arial" w:eastAsia="Arial" w:hAnsi="Arial"/>
        <w:b/>
        <w:bCs/>
        <w:color w:val="7C3AED"/>
        <w:sz w:val="18"/>
        <w:szCs w:val="18"/>
      </w:rPr>
      <w:t xml:space="preserve">REUSS TOKEN  |  Whitepaper Officiel v1.0  |  Reussitess®971  |  Guadeloupe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93B"/>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7C3AED"/>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2026-02-20T06:10:33.090Z</dcterms:created>
  <dcterms:modified xsi:type="dcterms:W3CDTF">2026-02-20T06:10:33.091Z</dcterms:modified>
</cp:coreProperties>
</file>

<file path=docProps/custom.xml><?xml version="1.0" encoding="utf-8"?>
<Properties xmlns="http://schemas.openxmlformats.org/officeDocument/2006/custom-properties" xmlns:vt="http://schemas.openxmlformats.org/officeDocument/2006/docPropsVTypes"/>
</file>