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A3755" w:rsidR="009B1D59" w:rsidP="009B1D59" w:rsidRDefault="009B1D59" w14:paraId="4F3BBFF9" w14:textId="49966349">
      <w:pPr>
        <w:pStyle w:val="Title1"/>
      </w:pPr>
      <w:r w:rsidR="5ED54AEE">
        <w:rPr/>
        <w:t>Reproducibility of Academic Journals in the Green Energy Sector</w:t>
      </w:r>
    </w:p>
    <w:p w:rsidRPr="009A3755" w:rsidR="009B1D59" w:rsidP="55A07641" w:rsidRDefault="009B5E2A" w14:paraId="4240A01A" w14:textId="15007BF1">
      <w:pPr>
        <w:pStyle w:val="abstract"/>
        <w:spacing w:after="0"/>
        <w:rPr>
          <w:lang w:val="de-DE"/>
        </w:rPr>
      </w:pPr>
      <w:r w:rsidR="5ED54AEE">
        <w:rPr>
          <w:lang w:val="de-DE"/>
        </w:rPr>
        <w:t>Robert (Reuven) Derner</w:t>
      </w:r>
      <w:r w:rsidRPr="009A3755" w:rsidR="381BDBF5">
        <w:rPr>
          <w:position w:val="6"/>
          <w:sz w:val="12"/>
          <w:szCs w:val="12"/>
          <w:lang w:val="de-DE"/>
        </w:rPr>
        <w:t>1</w:t>
      </w:r>
      <w:r w:rsidRPr="009A3755" w:rsidR="381BDBF5">
        <w:rPr>
          <w:lang w:val="de-DE"/>
        </w:rPr>
        <w:t xml:space="preserve">, </w:t>
      </w:r>
      <w:r w:rsidRPr="009A3755" w:rsidR="4FA72D72">
        <w:rPr>
          <w:lang w:val="de-DE"/>
        </w:rPr>
        <w:t xml:space="preserve">Richard (Will Butler)</w:t>
      </w:r>
      <w:r w:rsidRPr="009A3755" w:rsidR="1D76724F">
        <w:rPr>
          <w:position w:val="6"/>
          <w:sz w:val="12"/>
          <w:szCs w:val="12"/>
          <w:lang w:val="de-DE"/>
        </w:rPr>
        <w:t>1</w:t>
      </w:r>
      <w:r w:rsidR="1D76724F">
        <w:rPr>
          <w:lang w:val="de-DE"/>
        </w:rPr>
        <w:t>,</w:t>
      </w:r>
      <w:r w:rsidRPr="55A07641" w:rsidR="05FE0489">
        <w:rPr>
          <w:lang w:val="de-DE"/>
        </w:rPr>
        <w:t xml:space="preserve"> Alex Neff</w:t>
      </w:r>
      <w:r w:rsidRPr="55A07641" w:rsidR="05FE0489">
        <w:rPr>
          <w:sz w:val="12"/>
          <w:szCs w:val="12"/>
          <w:lang w:val="de-DE"/>
        </w:rPr>
        <w:t>1</w:t>
      </w:r>
      <w:r w:rsidRPr="55A07641" w:rsidR="05FE0489">
        <w:rPr>
          <w:lang w:val="de-DE"/>
        </w:rPr>
        <w:t xml:space="preserve">, </w:t>
      </w:r>
      <w:r w:rsidRPr="55A07641" w:rsidR="31E24E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Jacquelyn Cheun, PhD. – Capstone Professor, Bivin Sadler, PhD. – Research Advisor</w:t>
      </w:r>
    </w:p>
    <w:p w:rsidR="009B1D59" w:rsidP="009B1D59" w:rsidRDefault="009B1D59" w14:paraId="444AEDD2" w14:textId="77777777">
      <w:pPr>
        <w:pStyle w:val="authorinfo"/>
        <w:rPr>
          <w:lang w:val="de-DE"/>
        </w:rPr>
      </w:pPr>
      <w:r w:rsidRPr="009A3755" w:rsidR="381BDBF5">
        <w:rPr>
          <w:position w:val="6"/>
          <w:sz w:val="11"/>
          <w:szCs w:val="11"/>
          <w:lang w:val="de-DE"/>
        </w:rPr>
        <w:t>1</w:t>
      </w:r>
      <w:r w:rsidRPr="009A3755" w:rsidR="381BDBF5">
        <w:rPr>
          <w:lang w:val="de-DE"/>
        </w:rPr>
        <w:t xml:space="preserve"> </w:t>
      </w:r>
      <w:r w:rsidR="1D76724F">
        <w:rPr>
          <w:lang w:val="de-DE"/>
        </w:rPr>
        <w:t>Master of Science in Data Science, Southern Methodist University,</w:t>
      </w:r>
      <w:r w:rsidRPr="009A3755">
        <w:rPr>
          <w:lang w:val="de-DE"/>
        </w:rPr>
        <w:br/>
      </w:r>
      <w:r w:rsidR="1D76724F">
        <w:rPr>
          <w:lang w:val="de-DE"/>
        </w:rPr>
        <w:t>Dallas, TX 75275 USA</w:t>
      </w:r>
    </w:p>
    <w:p w:rsidRPr="009B1D59" w:rsidR="009B1D59" w:rsidP="009B1D59" w:rsidRDefault="009B1D59" w14:paraId="6CCE2DE1" w14:textId="389695B8">
      <w:pPr>
        <w:pStyle w:val="abstract"/>
      </w:pPr>
      <w:r w:rsidRPr="55A07641" w:rsidR="381BDBF5">
        <w:rPr>
          <w:b w:val="1"/>
          <w:bCs w:val="1"/>
        </w:rPr>
        <w:t>Abstract.</w:t>
      </w:r>
      <w:r w:rsidR="381BDBF5">
        <w:rPr/>
        <w:t xml:space="preserve"> </w:t>
      </w:r>
      <w:r w:rsidR="74C33C2C">
        <w:rPr/>
        <w:t xml:space="preserve">The paper </w:t>
      </w:r>
      <w:r w:rsidR="74C33C2C">
        <w:rPr/>
        <w:t>provides</w:t>
      </w:r>
      <w:r w:rsidR="74C33C2C">
        <w:rPr/>
        <w:t xml:space="preserve"> a comprehensive overview of the critical role of reproducibility in advancing the green energy sector. It emphasizes the imperative need for transparent and replicable research in the context of combating climate change and transitioning to renewable energy sources. The literature review delves into various dimensions of reproducibility, starting with its significance in scientific research for green energy and its implications for innovation and policy decisions. The text offers concrete examples of reproducible research in solar energy, wind power, energy storage, and sustainable materials. It also addresses methodologies, challenges, and gaps in ensuring reproducibility, such as data sharing reluctance and algorithm sensitivity. Furthermore, the review discusses the integration of vulnerable consumers into renewable energy communities and how it aligns with reproducibility goals. It concludes by stressing the importance of promoting transparency, open collaboration, and standardized reporting to create a more reliable and sustainable green energy future. The text encourages researchers to embrace a culture of openness and replication while also suggesting the development of standardized tools and frameworks for reproducibility across renewable energy domains</w:t>
      </w:r>
      <w:r w:rsidR="2EB189BF">
        <w:rPr/>
        <w:t>.</w:t>
      </w:r>
    </w:p>
    <w:p w:rsidRPr="009A3755" w:rsidR="009B1D59" w:rsidP="009B1D59" w:rsidRDefault="009B1D59" w14:paraId="3CC2FB70" w14:textId="77777777">
      <w:pPr>
        <w:pStyle w:val="heading10"/>
      </w:pPr>
      <w:r>
        <w:t>1   Introduction</w:t>
      </w:r>
    </w:p>
    <w:p w:rsidR="7884C428" w:rsidP="3A5F6B52" w:rsidRDefault="7884C428" w14:paraId="23492A92" w14:textId="2562DC3F">
      <w:pPr>
        <w:ind w:firstLine="227"/>
      </w:pPr>
      <w:r w:rsidR="7884C428">
        <w:rPr/>
        <w:t xml:space="preserve">The global pursuit of sustainable and environmentally friendly energy solutions has led to a transformative shift in the energy sector. As the detrimental consequences of climate change become increasingly </w:t>
      </w:r>
      <w:r w:rsidR="7884C428">
        <w:rPr/>
        <w:t>evident</w:t>
      </w:r>
      <w:r w:rsidR="7884C428">
        <w:rPr/>
        <w:t xml:space="preserve">, </w:t>
      </w:r>
      <w:r w:rsidR="7884C428">
        <w:rPr/>
        <w:t>it's</w:t>
      </w:r>
      <w:r w:rsidR="7884C428">
        <w:rPr/>
        <w:t xml:space="preserve"> imperative to transition away from fossil fuels towards clean and renewable energy sources. In this context, the green energy sector has </w:t>
      </w:r>
      <w:r w:rsidR="7884C428">
        <w:rPr/>
        <w:t>emerged</w:t>
      </w:r>
      <w:r w:rsidR="7884C428">
        <w:rPr/>
        <w:t xml:space="preserve"> as a pivotal domain for research, innovation, and policy development. Central to this transformation is the concept of reproducibility in research—a critical element in ensuring the credibility, reliability, and scalability of green energy solutions. ￼ </w:t>
      </w:r>
    </w:p>
    <w:p w:rsidR="33330BEE" w:rsidP="3A5F6B52" w:rsidRDefault="33330BEE" w14:paraId="7DE96904" w14:textId="52A05E62">
      <w:pPr>
        <w:ind w:firstLine="227"/>
      </w:pPr>
      <w:r w:rsidR="33330BEE">
        <w:rPr/>
        <w:t xml:space="preserve">Anytime </w:t>
      </w:r>
      <w:r w:rsidR="33330BEE">
        <w:rPr/>
        <w:t>a new technology</w:t>
      </w:r>
      <w:r w:rsidR="33330BEE">
        <w:rPr/>
        <w:t xml:space="preserve"> or </w:t>
      </w:r>
      <w:r w:rsidR="33330BEE">
        <w:rPr/>
        <w:t>methodology</w:t>
      </w:r>
      <w:r w:rsidR="33330BEE">
        <w:rPr/>
        <w:t xml:space="preserve"> is introduced it is met with skepticism. Environmentally friendly energy is no exception to this. </w:t>
      </w:r>
      <w:r w:rsidR="33330BEE">
        <w:rPr/>
        <w:t>The effectiveness and practicality of environmentally friendly energy is often debated on Twitter threads as well as on parliamentary floors.</w:t>
      </w:r>
      <w:r w:rsidR="33330BEE">
        <w:rPr/>
        <w:t xml:space="preserve"> While a plethora of research has been done on this topic, it is often out of the public light but when it is introduced into the public space it is imperative that it can be readily reproduced. Too often the criticism can be leveled at research that it is fake or not </w:t>
      </w:r>
      <w:r w:rsidR="33330BEE">
        <w:rPr/>
        <w:t>an accurate</w:t>
      </w:r>
      <w:r w:rsidR="33330BEE">
        <w:rPr/>
        <w:t xml:space="preserve"> representation of the facts. This easy dismission of research could easily be avoided if it </w:t>
      </w:r>
      <w:r w:rsidR="33330BEE">
        <w:rPr/>
        <w:t>was</w:t>
      </w:r>
      <w:r w:rsidR="33330BEE">
        <w:rPr/>
        <w:t xml:space="preserve"> reproducible.  This would help </w:t>
      </w:r>
      <w:r w:rsidR="16B2E112">
        <w:rPr/>
        <w:t>renewable</w:t>
      </w:r>
      <w:r w:rsidR="33330BEE">
        <w:rPr/>
        <w:t xml:space="preserve"> energ</w:t>
      </w:r>
      <w:r w:rsidR="25776D31">
        <w:rPr/>
        <w:t xml:space="preserve">y </w:t>
      </w:r>
      <w:r w:rsidR="69BC5904">
        <w:rPr/>
        <w:t>garner</w:t>
      </w:r>
      <w:r w:rsidR="25776D31">
        <w:rPr/>
        <w:t xml:space="preserve"> further support </w:t>
      </w:r>
      <w:r w:rsidR="25776D31">
        <w:rPr/>
        <w:t>that i</w:t>
      </w:r>
      <w:r w:rsidR="37E9B21F">
        <w:rPr/>
        <w:t>t</w:t>
      </w:r>
      <w:r w:rsidR="25776D31">
        <w:rPr/>
        <w:t xml:space="preserve"> needs to continue to progress.</w:t>
      </w:r>
    </w:p>
    <w:p w:rsidR="56ED0D05" w:rsidP="3A5F6B52" w:rsidRDefault="56ED0D05" w14:paraId="04DDDE22" w14:textId="45443673">
      <w:pPr>
        <w:pStyle w:val="Normal"/>
        <w:ind w:firstLine="227"/>
      </w:pPr>
      <w:r w:rsidR="56ED0D05">
        <w:rPr/>
        <w:t xml:space="preserve">Reproducibility standards would need to be introduced to ensure that research was consistently reproducible. This would include </w:t>
      </w:r>
      <w:r w:rsidR="4E547326">
        <w:rPr/>
        <w:t>comprehensive</w:t>
      </w:r>
      <w:r w:rsidR="4ED174EA">
        <w:rPr/>
        <w:t xml:space="preserve"> documentation that would include research elements such as methodologies, data</w:t>
      </w:r>
      <w:r w:rsidR="7B4AFB33">
        <w:rPr/>
        <w:t>,</w:t>
      </w:r>
      <w:r w:rsidR="4ED174EA">
        <w:rPr/>
        <w:t xml:space="preserve"> and code. </w:t>
      </w:r>
      <w:r w:rsidR="6728DC6C">
        <w:rPr/>
        <w:t>This would pose a huge challenge as it would require a large shift in the current standards.</w:t>
      </w:r>
    </w:p>
    <w:p w:rsidR="7884C428" w:rsidP="52FBDD9A" w:rsidRDefault="7884C428" w14:paraId="2F8E0D7E" w14:textId="67AD95DD">
      <w:r>
        <w:t xml:space="preserve">The adoption of green energy technologies, such as solar photovoltaics, wind turbines, and energy storage systems, has grown exponentially in recent years. These technologies hold the promise of significantly reducing greenhouse gas emissions, mitigating climate change, and fostering energy independence. However, the successful implementation of green energy solutions hinges on the ability to produce consistent and replicable research outcomes. This necessity for reproducibility extends to various aspects of the green energy sector, including materials development, system design, and energy policy formulation. </w:t>
      </w:r>
    </w:p>
    <w:p w:rsidR="7884C428" w:rsidP="52FBDD9A" w:rsidRDefault="7884C428" w14:paraId="3C9F9E41" w14:textId="300A8259">
      <w:r>
        <w:t xml:space="preserve">This literature review aims to explore the critical role of reproducible research in advancing the green energy sector. By critically examining the existing body of knowledge, we will elucidate how reproducibility is addressed, measured, and implemented across various subfields within green energy research. Additionally, we will identify key challenges, gaps, and opportunities in the literature related to reproducibility, with the goal of providing insights into how the green energy sector can achieve greater sustainability and impact. </w:t>
      </w:r>
    </w:p>
    <w:p w:rsidR="7884C428" w:rsidP="52FBDD9A" w:rsidRDefault="7884C428" w14:paraId="56C234CF" w14:textId="0CC68C74">
      <w:r>
        <w:t xml:space="preserve">We will examine reproducibility within the green energy sector by discussing the importance of reproducibility in scientific research and its implications for advancing renewable energy technologies. Subsequently, we will explore specific examples of reproducible research in areas such as solar energy, wind power, energy storage, and sustainable materials. Furthermore, we will analyze the methodologies and practices employed to ensure reproducibility in these studies and highlight the challenges that researchers encounter. Finally, we will synthesize the key findings, identify knowledge gaps, and suggest directions for future research in the quest to create a more sustainable and reproducible green energy sector. </w:t>
      </w:r>
    </w:p>
    <w:p w:rsidR="7884C428" w:rsidP="52FBDD9A" w:rsidRDefault="7884C428" w14:paraId="67E758B6" w14:textId="2040CBA1">
      <w:r>
        <w:t>Through this comprehensive examination of reproducibility in the context of green energy research, we aim to contribute to the ongoing discourse on how to accelerate the transition to a cleaner and more sustainable energy future. By fostering transparency, rigor, and collaboration in the green energy research community, we believe that reproducibility can play a pivotal role in realizing the full potential of renewable energy technologies and addressing the global challenges posed by climate change.</w:t>
      </w:r>
    </w:p>
    <w:p w:rsidRPr="009A3755" w:rsidR="009B1D59" w:rsidP="009B1D59" w:rsidRDefault="007131A7" w14:paraId="731AF31D" w14:textId="7F7AA7B6">
      <w:pPr>
        <w:pStyle w:val="heading10"/>
      </w:pPr>
      <w:r w:rsidR="1D42A8E7">
        <w:rPr/>
        <w:t>2</w:t>
      </w:r>
      <w:r w:rsidR="381BDBF5">
        <w:rPr/>
        <w:t xml:space="preserve">   </w:t>
      </w:r>
      <w:r w:rsidR="40950391">
        <w:rPr/>
        <w:t>Literature Review</w:t>
      </w:r>
    </w:p>
    <w:p w:rsidR="6912E0F7" w:rsidP="3A7E339F" w:rsidRDefault="6912E0F7" w14:paraId="14AA67A4" w14:textId="200A51DE">
      <w:pPr>
        <w:pStyle w:val="Normal"/>
        <w:ind w:firstLine="227"/>
        <w:rPr>
          <w:lang w:val="en-GB"/>
        </w:rPr>
      </w:pPr>
      <w:r w:rsidRPr="3A7E339F" w:rsidR="6912E0F7">
        <w:rPr>
          <w:lang w:val="en-US"/>
        </w:rPr>
        <w:t xml:space="preserve">The transition to sustainable green energy </w:t>
      </w:r>
      <w:r w:rsidRPr="3A7E339F" w:rsidR="6912E0F7">
        <w:rPr>
          <w:lang w:val="en-US"/>
        </w:rPr>
        <w:t>represents</w:t>
      </w:r>
      <w:r w:rsidRPr="3A7E339F" w:rsidR="6912E0F7">
        <w:rPr>
          <w:lang w:val="en-US"/>
        </w:rPr>
        <w:t xml:space="preserve"> a vital response to climate change and resource depletion. Ensuring the credibility of scientific research in this field is paramount, as it underpins innovations and policy decisions. However, the trustworthiness of this research hinges on its reproducibility – the ability to replicate findings independently. This comprehensive literature review delves into the multifaceted dimensions of reproducibility within the green energy sector. We </w:t>
      </w:r>
      <w:r w:rsidRPr="3A7E339F" w:rsidR="6912E0F7">
        <w:rPr>
          <w:lang w:val="en-US"/>
        </w:rPr>
        <w:t>commence</w:t>
      </w:r>
      <w:r w:rsidRPr="3A7E339F" w:rsidR="6912E0F7">
        <w:rPr>
          <w:lang w:val="en-US"/>
        </w:rPr>
        <w:t xml:space="preserve"> by discussing the significance of reproducibility in scientific research and its implications for advancing renewable energy technologies. Subsequently, we explore specific examples of reproducible research in areas such as solar energy, wind power, energy storage, and sustainable materials. Furthermore, we scrutinize the methodologies and challenges researchers </w:t>
      </w:r>
      <w:r w:rsidRPr="3A7E339F" w:rsidR="6912E0F7">
        <w:rPr>
          <w:lang w:val="en-US"/>
        </w:rPr>
        <w:t>encounter</w:t>
      </w:r>
      <w:r w:rsidRPr="3A7E339F" w:rsidR="6912E0F7">
        <w:rPr>
          <w:lang w:val="en-US"/>
        </w:rPr>
        <w:t xml:space="preserve"> in ensuring reproducibility, and lastly, we synthesize the key findings, </w:t>
      </w:r>
      <w:r w:rsidRPr="3A7E339F" w:rsidR="6912E0F7">
        <w:rPr>
          <w:lang w:val="en-US"/>
        </w:rPr>
        <w:t>identify</w:t>
      </w:r>
      <w:r w:rsidRPr="3A7E339F" w:rsidR="6912E0F7">
        <w:rPr>
          <w:lang w:val="en-US"/>
        </w:rPr>
        <w:t xml:space="preserve"> knowledge gaps, and suggest directions for future research.</w:t>
      </w:r>
    </w:p>
    <w:p w:rsidR="6912E0F7" w:rsidP="55A07641" w:rsidRDefault="6912E0F7" w14:paraId="2703AA98" w14:textId="2A97FDE2">
      <w:pPr>
        <w:pStyle w:val="Normal"/>
        <w:rPr>
          <w:lang w:val="en-US"/>
        </w:rPr>
      </w:pPr>
      <w:r>
        <w:br/>
      </w:r>
    </w:p>
    <w:p w:rsidRPr="009A3755" w:rsidR="009B1D59" w:rsidP="009B1D59" w:rsidRDefault="007131A7" w14:paraId="64BC44BD" w14:textId="7B790108">
      <w:pPr>
        <w:pStyle w:val="heading20"/>
      </w:pPr>
      <w:r w:rsidR="1D42A8E7">
        <w:rPr/>
        <w:t>2</w:t>
      </w:r>
      <w:r w:rsidR="381BDBF5">
        <w:rPr/>
        <w:t xml:space="preserve">.1   </w:t>
      </w:r>
      <w:r w:rsidR="31D0B0C1">
        <w:rPr/>
        <w:t>Importance of Reproducibility in Scientific Research for Green Energy</w:t>
      </w:r>
    </w:p>
    <w:p w:rsidR="31D0B0C1" w:rsidP="3A7E339F" w:rsidRDefault="31D0B0C1" w14:paraId="0903DCA5" w14:textId="11A0C6F9">
      <w:pPr>
        <w:pStyle w:val="Normal"/>
        <w:ind w:firstLine="709"/>
      </w:pPr>
      <w:r w:rsidR="31D0B0C1">
        <w:rPr/>
        <w:t xml:space="preserve">The credibility of research findings in the green energy sector is essential for garnering trust among stakeholders, including investors, policymakers, and the public. Reproducibility ensures that research outcomes are robust and dependable, instilling confidence in the sector's innovations. Green energy technologies are characterized by their dynamism and rapid evolution. Reproducibility is pivotal for building upon </w:t>
      </w:r>
      <w:r w:rsidR="31D0B0C1">
        <w:rPr/>
        <w:t>previous</w:t>
      </w:r>
      <w:r w:rsidR="31D0B0C1">
        <w:rPr/>
        <w:t xml:space="preserve"> research, fostering innovation, and advancing renewable energy solutions. Research such as </w:t>
      </w:r>
      <w:r w:rsidR="31D0B0C1">
        <w:rPr/>
        <w:t>DeepSI</w:t>
      </w:r>
      <w:r w:rsidR="31D0B0C1">
        <w:rPr/>
        <w:t xml:space="preserve"> (Gerges et al., 2023) exemplifies the commitment to reproducibility by </w:t>
      </w:r>
      <w:r w:rsidR="31D0B0C1">
        <w:rPr/>
        <w:t>utilizing</w:t>
      </w:r>
      <w:r w:rsidR="31D0B0C1">
        <w:rPr/>
        <w:t xml:space="preserve"> Bayesian deep learning for solar irradiance prediction. It sets </w:t>
      </w:r>
      <w:r w:rsidR="31D0B0C1">
        <w:rPr/>
        <w:t>high standards</w:t>
      </w:r>
      <w:r w:rsidR="31D0B0C1">
        <w:rPr/>
        <w:t xml:space="preserve"> for rigor and transparency in solar energy research (Devitt et al., 2020). Akhadov's study (2023) </w:t>
      </w:r>
      <w:r w:rsidR="31D0B0C1">
        <w:rPr/>
        <w:t>showcases</w:t>
      </w:r>
      <w:r w:rsidR="31D0B0C1">
        <w:rPr/>
        <w:t xml:space="preserve"> the significance of mathematical modeling in ensuring the reproducibility and reliability of thermal energy production. It underscores the importance of rigorous, reproducible site assessments when selecting suitable areas for solar power installations.</w:t>
      </w:r>
      <w:r w:rsidR="29CF4237">
        <w:rPr/>
        <w:t xml:space="preserve"> </w:t>
      </w:r>
      <w:r w:rsidR="29CF4237">
        <w:rPr/>
        <w:t xml:space="preserve">Researchers like Sørensen and Shen (2017) emphasize the importance of reproducibility in wind power research through numerical simulations and standardized test cases. Transparent research practices </w:t>
      </w:r>
      <w:r w:rsidR="29CF4237">
        <w:rPr/>
        <w:t>establish</w:t>
      </w:r>
      <w:r w:rsidR="29CF4237">
        <w:rPr/>
        <w:t xml:space="preserve"> a foundation for reliable, reproducible research in wind energy. In energy storage, reproducibility is crucial for ensuring battery safety and reliability. Whittingham (2012) stresses the need for transparent research practices, data sharing, and standardized reporting to support reproducibility in energy storage research.</w:t>
      </w:r>
    </w:p>
    <w:p w:rsidR="01D8F94D" w:rsidP="55A07641" w:rsidRDefault="01D8F94D" w14:paraId="62A56BB9" w14:textId="520E936C">
      <w:pPr>
        <w:pStyle w:val="heading20"/>
      </w:pPr>
      <w:r w:rsidR="01D8F94D">
        <w:rPr/>
        <w:t>2.2   Sustainable Materials and Reproducibility</w:t>
      </w:r>
    </w:p>
    <w:p w:rsidR="01D8F94D" w:rsidP="55A07641" w:rsidRDefault="01D8F94D" w14:paraId="4FC5B8DA" w14:textId="58F0A73F">
      <w:pPr>
        <w:pStyle w:val="p1a"/>
      </w:pPr>
      <w:r w:rsidR="01D8F94D">
        <w:rPr/>
        <w:t xml:space="preserve">In sustainable materials research, such as perovskite solar cell materials, reproducibility is essential for advancing solar cell efficiency. Law et al. (2019) </w:t>
      </w:r>
      <w:r w:rsidR="62884579">
        <w:rPr/>
        <w:t>emphasizes</w:t>
      </w:r>
      <w:r w:rsidR="01D8F94D">
        <w:rPr/>
        <w:t xml:space="preserve"> comprehensive documentation and transparency to ensure the replicability of results. Research on sustainable building materials (Pomponi et al., 2019) underscores the importance of reproducibility in assessing environmental and energy performance. Transparent reporting and research methodologies enable result replication and drive sustainable building practices.</w:t>
      </w:r>
    </w:p>
    <w:p w:rsidR="55A07641" w:rsidP="55A07641" w:rsidRDefault="55A07641" w14:paraId="2B51CE92" w14:textId="40DE48D6">
      <w:pPr>
        <w:pStyle w:val="Normal"/>
      </w:pPr>
    </w:p>
    <w:p w:rsidR="01D8F94D" w:rsidP="55A07641" w:rsidRDefault="01D8F94D" w14:paraId="2D2316CB" w14:textId="3A98FDF5">
      <w:pPr>
        <w:pStyle w:val="heading20"/>
      </w:pPr>
      <w:r w:rsidR="01D8F94D">
        <w:rPr/>
        <w:t>2.3   Empowering Vulnerable Consumers in Renewable Energy Communities</w:t>
      </w:r>
    </w:p>
    <w:p w:rsidR="01D8F94D" w:rsidP="55A07641" w:rsidRDefault="01D8F94D" w14:paraId="0D5BF2E9" w14:textId="53CD5FA6">
      <w:pPr>
        <w:pStyle w:val="Normal"/>
        <w:ind w:firstLine="0"/>
      </w:pPr>
      <w:r w:rsidR="01D8F94D">
        <w:rPr/>
        <w:t xml:space="preserve">Hanke and </w:t>
      </w:r>
      <w:r w:rsidR="01D8F94D">
        <w:rPr/>
        <w:t>Lowitzsch</w:t>
      </w:r>
      <w:r w:rsidR="01D8F94D">
        <w:rPr/>
        <w:t xml:space="preserve"> (2020) emphasize the critical role of involving vulnerable consumers in Renewable Energy Communities (RECs) to address energy poverty and promote a socially </w:t>
      </w:r>
      <w:r w:rsidR="01D8F94D">
        <w:rPr/>
        <w:t>equitable</w:t>
      </w:r>
      <w:r w:rsidR="01D8F94D">
        <w:rPr/>
        <w:t xml:space="preserve"> transition to renewable energy sources. Their study defines vulnerable energy consumers and explores barriers, incentives, and communication strategies for their participation in </w:t>
      </w:r>
      <w:r w:rsidR="01D8F94D">
        <w:rPr/>
        <w:t>RECs.</w:t>
      </w:r>
      <w:r w:rsidR="001F3556">
        <w:rPr/>
        <w:t xml:space="preserve"> The involvement of vulnerable consumers in RECs, as advocated by Hanke and </w:t>
      </w:r>
      <w:r w:rsidR="001F3556">
        <w:rPr/>
        <w:t>Lowitzsch</w:t>
      </w:r>
      <w:r w:rsidR="001F3556">
        <w:rPr/>
        <w:t xml:space="preserve"> (2020), aligns with the overarching goals of reproducibility, innovation, and sustainability within the green energy sector. It underscores the importance of fostering participation and addressing energy poverty, thereby ensuring that the benefits of a green energy transition are equitably distributed.</w:t>
      </w:r>
    </w:p>
    <w:p w:rsidR="004BDB53" w:rsidP="55A07641" w:rsidRDefault="004BDB53" w14:paraId="52ED6E4B" w14:textId="324297BF">
      <w:pPr>
        <w:pStyle w:val="heading20"/>
      </w:pPr>
      <w:r w:rsidR="004BDB53">
        <w:rPr/>
        <w:t xml:space="preserve">2.4   </w:t>
      </w:r>
      <w:r w:rsidR="40C911BE">
        <w:rPr/>
        <w:t>Methodologies and Challenges in Ensuring Reproducibility</w:t>
      </w:r>
    </w:p>
    <w:p w:rsidR="0A563D8D" w:rsidP="55A07641" w:rsidRDefault="0A563D8D" w14:paraId="51AB0492" w14:textId="01313553">
      <w:pPr>
        <w:pStyle w:val="Normal"/>
        <w:ind w:firstLine="0"/>
      </w:pPr>
      <w:r w:rsidR="0A563D8D">
        <w:rPr/>
        <w:t xml:space="preserve">The research community acknowledges that reproducibility hinges on the comprehensive documentation of research methodologies, data, and code. Transparent sharing of data and open-source tools is imperative for replicating research findings. Some of the challenges in ensuring reproducibility in green energy research include data sharing reluctance, code availability, and algorithm sensitivity. Researchers are addressing these issues to shift research culture towards prioritizing replication </w:t>
      </w:r>
      <w:r w:rsidR="0A563D8D">
        <w:rPr/>
        <w:t>attempts</w:t>
      </w:r>
      <w:r w:rsidR="0A563D8D">
        <w:rPr/>
        <w:t xml:space="preserve"> and transparent reporting.</w:t>
      </w:r>
    </w:p>
    <w:p w:rsidR="55A07641" w:rsidP="55A07641" w:rsidRDefault="55A07641" w14:paraId="33C5BF97" w14:textId="248F8175">
      <w:pPr>
        <w:pStyle w:val="Normal"/>
        <w:ind w:firstLine="0"/>
      </w:pPr>
    </w:p>
    <w:p w:rsidR="004BDB53" w:rsidP="55A07641" w:rsidRDefault="004BDB53" w14:paraId="31750D98" w14:textId="543C26CC">
      <w:pPr>
        <w:pStyle w:val="heading20"/>
      </w:pPr>
      <w:r w:rsidR="004BDB53">
        <w:rPr/>
        <w:t xml:space="preserve">2.5   </w:t>
      </w:r>
      <w:r w:rsidR="17AFF6BC">
        <w:rPr/>
        <w:t xml:space="preserve">Gaps and Source Comparison </w:t>
      </w:r>
    </w:p>
    <w:p w:rsidR="17AFF6BC" w:rsidP="55A07641" w:rsidRDefault="17AFF6BC" w14:paraId="55FA24A1" w14:textId="4696E65E">
      <w:pPr>
        <w:pStyle w:val="Normal"/>
        <w:ind w:firstLine="0"/>
      </w:pPr>
      <w:r w:rsidR="17AFF6BC">
        <w:rPr/>
        <w:t xml:space="preserve">While </w:t>
      </w:r>
      <w:r w:rsidR="17AFF6BC">
        <w:rPr/>
        <w:t>significant progress</w:t>
      </w:r>
      <w:r w:rsidR="17AFF6BC">
        <w:rPr/>
        <w:t xml:space="preserve"> has been made in recognizing the importance of reproducibility in green energy research and in promoting the inclusion of vulnerable consumers in RECs, there are still notable gaps and controversies. The reluctance to share code and data </w:t>
      </w:r>
      <w:r w:rsidR="17AFF6BC">
        <w:rPr/>
        <w:t>remains</w:t>
      </w:r>
      <w:r w:rsidR="17AFF6BC">
        <w:rPr/>
        <w:t xml:space="preserve"> a significant challenge (Hutson, 2018), with only a minority of researchers openly sharing their work (Balal et al., 2023). The sensitivity of AI algorithms to random factors poses a complex issue (Hutson, 2018), which parallels the sensitivity of machine learning models in solar energy predictions (Balal et al., 2023). These challenges </w:t>
      </w:r>
      <w:r w:rsidR="17AFF6BC">
        <w:rPr/>
        <w:t>necessitate</w:t>
      </w:r>
      <w:r w:rsidR="17AFF6BC">
        <w:rPr/>
        <w:t xml:space="preserve"> more comprehensive solutions.</w:t>
      </w:r>
    </w:p>
    <w:p w:rsidR="55A07641" w:rsidP="55A07641" w:rsidRDefault="55A07641" w14:paraId="0A16319C" w14:textId="642691E0">
      <w:pPr>
        <w:pStyle w:val="Normal"/>
        <w:ind w:firstLine="0"/>
      </w:pPr>
    </w:p>
    <w:p w:rsidR="17AFF6BC" w:rsidP="55A07641" w:rsidRDefault="17AFF6BC" w14:paraId="0346E4FA" w14:textId="709820B8">
      <w:pPr>
        <w:pStyle w:val="Normal"/>
        <w:ind w:firstLine="0"/>
      </w:pPr>
      <w:r w:rsidR="17AFF6BC">
        <w:rPr/>
        <w:t>Multiple sources highlight the critical role of reproducibility in green energy research (Devitt et al., 2020; Gerges et al., 2023; Whittingham, 2012; Akhadov, 2023), emphasizing its influence on trust, innovation, and sustainable development. They underscore the need for transparency and comprehensive documentation. Additionally, Hanke and Lowitzsch (2020) showcase the importance of integrating vulnerable consumers into renewable energy communities to address energy poverty and achieve a sustainable energy transition. This inclusive perspective further aligns with the overarching goals of advancing renewable energy technologies and ensuring a sustainable and reproducible green energy future.</w:t>
      </w:r>
    </w:p>
    <w:p w:rsidR="004BDB53" w:rsidP="55A07641" w:rsidRDefault="004BDB53" w14:paraId="43BDB293" w14:textId="72230914">
      <w:pPr>
        <w:pStyle w:val="heading20"/>
      </w:pPr>
      <w:r w:rsidR="004BDB53">
        <w:rPr/>
        <w:t xml:space="preserve">2.6   </w:t>
      </w:r>
      <w:r w:rsidR="47E0E688">
        <w:rPr/>
        <w:t>Synthesis and Future Directions</w:t>
      </w:r>
    </w:p>
    <w:p w:rsidR="47E0E688" w:rsidP="55A07641" w:rsidRDefault="47E0E688" w14:paraId="5DB83D3B" w14:textId="5EE5864A">
      <w:pPr>
        <w:pStyle w:val="Normal"/>
        <w:ind w:firstLine="0"/>
      </w:pPr>
      <w:r w:rsidR="47E0E688">
        <w:rPr/>
        <w:t>In synthesis, reproducibility stands as a non-negotiable element of scientific research within the green energy sector. It safeguards the credibility of research findings, propels innovation, and accelerates the transition to sustainable energy sources. The path forward involves promoting transparency, open collaboration, and standardized reporting. The development of open-source tools, repositories for sharing algorithms and data, and frameworks for reproducible research across renewable energy domains are vital steps toward a more reliable and reproducible green energy future.</w:t>
      </w:r>
    </w:p>
    <w:p w:rsidR="55A07641" w:rsidP="55A07641" w:rsidRDefault="55A07641" w14:paraId="59F2A8EA" w14:textId="499C056D">
      <w:pPr>
        <w:pStyle w:val="Normal"/>
        <w:ind w:firstLine="0"/>
      </w:pPr>
    </w:p>
    <w:p w:rsidR="431A4BA2" w:rsidP="3A5F6B52" w:rsidRDefault="431A4BA2" w14:paraId="486391F9" w14:textId="5DDFD5AD">
      <w:pPr>
        <w:pStyle w:val="Normal"/>
        <w:ind w:firstLine="0"/>
      </w:pPr>
      <w:r w:rsidR="431A4BA2">
        <w:rPr/>
        <w:t xml:space="preserve">The future of research in the green energy sector </w:t>
      </w:r>
      <w:r w:rsidR="431A4BA2">
        <w:rPr/>
        <w:t>necessitates</w:t>
      </w:r>
      <w:r w:rsidR="431A4BA2">
        <w:rPr/>
        <w:t xml:space="preserve"> addressing the gaps in data and code sharing, algorithm sensitivity, and the need for comprehensive replication frameworks. Researchers must embrace a culture of open collaboration, prioritize transparency, and encourage replication </w:t>
      </w:r>
      <w:r w:rsidR="431A4BA2">
        <w:rPr/>
        <w:t>attempts</w:t>
      </w:r>
      <w:r w:rsidR="431A4BA2">
        <w:rPr/>
        <w:t xml:space="preserve"> to fortify the sector's sustainability and credibility further. Future studies should focus on developing standardized tools, repositories, and frameworks to </w:t>
      </w:r>
      <w:r w:rsidR="431A4BA2">
        <w:rPr/>
        <w:t>facilitate</w:t>
      </w:r>
      <w:r w:rsidR="431A4BA2">
        <w:rPr/>
        <w:t xml:space="preserve"> reproducibility across all domains of renewable energy research. Furthermore, efforts should continue to empower vulnerable consumers to </w:t>
      </w:r>
      <w:r w:rsidR="431A4BA2">
        <w:rPr/>
        <w:t>participate</w:t>
      </w:r>
      <w:r w:rsidR="431A4BA2">
        <w:rPr/>
        <w:t xml:space="preserve"> actively in renewable energy communities, ensuring an inclusive and </w:t>
      </w:r>
      <w:r w:rsidR="431A4BA2">
        <w:rPr/>
        <w:t>equitable</w:t>
      </w:r>
      <w:r w:rsidR="431A4BA2">
        <w:rPr/>
        <w:t xml:space="preserve"> green energy transition.</w:t>
      </w:r>
    </w:p>
    <w:p w:rsidR="009B1D59" w:rsidP="009942DC" w:rsidRDefault="007131A7" w14:paraId="61B75E1D" w14:textId="14641120">
      <w:pPr>
        <w:pStyle w:val="heading10"/>
      </w:pPr>
      <w:r w:rsidR="1D42A8E7">
        <w:rPr/>
        <w:t>3</w:t>
      </w:r>
      <w:r w:rsidR="381BDBF5">
        <w:rPr/>
        <w:t xml:space="preserve">   </w:t>
      </w:r>
      <w:r w:rsidR="4BEEA6C0">
        <w:rPr/>
        <w:t>Methods</w:t>
      </w:r>
    </w:p>
    <w:p w:rsidR="66ECEBC9" w:rsidP="3A5F6B52" w:rsidRDefault="66ECEBC9" w14:paraId="4C363D87" w14:textId="1D64EB3F">
      <w:pPr>
        <w:pStyle w:val="p1a"/>
        <w:spacing w:before="0" w:beforeAutospacing="off" w:after="0" w:afterAutospacing="off" w:line="259" w:lineRule="auto"/>
        <w:ind w:left="0" w:right="0"/>
        <w:jc w:val="both"/>
      </w:pPr>
      <w:r w:rsidR="66ECEBC9">
        <w:rPr/>
        <w:t xml:space="preserve">This section will be for methods </w:t>
      </w:r>
      <w:r w:rsidR="66ECEBC9">
        <w:rPr/>
        <w:t>identified</w:t>
      </w:r>
      <w:r w:rsidR="66ECEBC9">
        <w:rPr/>
        <w:t xml:space="preserve"> and </w:t>
      </w:r>
      <w:r w:rsidR="66ECEBC9">
        <w:rPr/>
        <w:t>utilized</w:t>
      </w:r>
      <w:r w:rsidR="66ECEBC9">
        <w:rPr/>
        <w:t xml:space="preserve">. </w:t>
      </w:r>
    </w:p>
    <w:p w:rsidR="009B1D59" w:rsidP="55A07641" w:rsidRDefault="007131A7" w14:paraId="4A6BDEDF" w14:textId="0906A415">
      <w:pPr>
        <w:pStyle w:val="heading20"/>
      </w:pPr>
      <w:r w:rsidR="17A0473C">
        <w:rPr/>
        <w:t>3.1   Subsection</w:t>
      </w:r>
    </w:p>
    <w:p w:rsidR="009B1D59" w:rsidP="55A07641" w:rsidRDefault="007131A7" w14:paraId="7F6A739B" w14:textId="3D06C388">
      <w:pPr>
        <w:pStyle w:val="p1a"/>
      </w:pPr>
      <w:r w:rsidR="17A0473C">
        <w:rPr/>
        <w:t xml:space="preserve">The list of references is headed “References” and is not assigned a number. The list should be set in small print and placed at the end of your contribution, in front of the appendix, if one exists. Please do not insert a </w:t>
      </w:r>
      <w:r w:rsidR="17A0473C">
        <w:rPr/>
        <w:t>pagebreak</w:t>
      </w:r>
      <w:r w:rsidR="17A0473C">
        <w:rPr/>
        <w:t xml:space="preserve"> before the list of references if the page is not completely filled. </w:t>
      </w:r>
    </w:p>
    <w:p w:rsidR="009B1D59" w:rsidP="55A07641" w:rsidRDefault="007131A7" w14:paraId="5AA98619" w14:textId="6F7E719B">
      <w:pPr>
        <w:pStyle w:val="heading20"/>
      </w:pPr>
      <w:r w:rsidR="17A0473C">
        <w:rPr/>
        <w:t xml:space="preserve">3.2   Subsection </w:t>
      </w:r>
    </w:p>
    <w:p w:rsidR="009B1D59" w:rsidP="55A07641" w:rsidRDefault="007131A7" w14:paraId="04CA0A93" w14:textId="012FD9AA">
      <w:pPr>
        <w:pStyle w:val="Normal"/>
        <w:ind w:firstLine="0"/>
      </w:pPr>
      <w:r w:rsidR="17A0473C">
        <w:rPr/>
        <w:t xml:space="preserve">An example is given at the end of this information sheet. For citations in the text please use square brackets and consecutive numbers: [1], [2], [3], etc. Use APA format in the reference section. You can choose to either have </w:t>
      </w:r>
      <w:r w:rsidR="17A0473C">
        <w:rPr/>
        <w:t>it</w:t>
      </w:r>
      <w:r w:rsidR="17A0473C">
        <w:rPr/>
        <w:t xml:space="preserve"> alphabetical order or </w:t>
      </w:r>
      <w:r w:rsidR="17A0473C">
        <w:rPr/>
        <w:t>order</w:t>
      </w:r>
      <w:r w:rsidR="17A0473C">
        <w:rPr/>
        <w:t xml:space="preserve"> of which it is shown </w:t>
      </w:r>
      <w:r w:rsidR="17A0473C">
        <w:rPr/>
        <w:t>in</w:t>
      </w:r>
      <w:r w:rsidR="17A0473C">
        <w:rPr/>
        <w:t xml:space="preserve"> the paper.</w:t>
      </w:r>
    </w:p>
    <w:p w:rsidR="009B1D59" w:rsidP="009942DC" w:rsidRDefault="007131A7" w14:paraId="3B3614C0" w14:textId="573489B6">
      <w:pPr>
        <w:pStyle w:val="heading10"/>
      </w:pPr>
      <w:r w:rsidR="1D42A8E7">
        <w:rPr/>
        <w:t>4</w:t>
      </w:r>
      <w:r w:rsidR="381BDBF5">
        <w:rPr/>
        <w:t xml:space="preserve">   </w:t>
      </w:r>
      <w:r w:rsidR="04CB9F7E">
        <w:rPr/>
        <w:t>Results</w:t>
      </w:r>
    </w:p>
    <w:p w:rsidR="009B1D59" w:rsidP="009B1D59" w:rsidRDefault="009B1D59" w14:paraId="24C6EC22" w14:textId="77777777">
      <w:pPr>
        <w:pStyle w:val="p1a"/>
      </w:pPr>
      <w:r>
        <w:t xml:space="preserve">The correct BibTeX entries for the Lecture Notes in Computer Science volumes can be found at the following Website shortly after the publication of the book: </w:t>
      </w:r>
      <w:hyperlink w:history="1" r:id="rId8">
        <w:r w:rsidRPr="007958FD">
          <w:rPr>
            <w:rStyle w:val="Hyperlink"/>
          </w:rPr>
          <w:t>http://www.informatik.uni-trier.de/~ley/db/journals/lncs.html</w:t>
        </w:r>
      </w:hyperlink>
    </w:p>
    <w:p w:rsidR="009B1D59" w:rsidP="009942DC" w:rsidRDefault="007131A7" w14:paraId="7E5D9AC8" w14:textId="6FD66730">
      <w:pPr>
        <w:pStyle w:val="heading10"/>
      </w:pPr>
      <w:r w:rsidR="1D42A8E7">
        <w:rPr/>
        <w:t>5</w:t>
      </w:r>
      <w:r w:rsidR="381BDBF5">
        <w:rPr/>
        <w:t xml:space="preserve">   </w:t>
      </w:r>
      <w:r w:rsidR="044A7A78">
        <w:rPr/>
        <w:t>Discussion</w:t>
      </w:r>
    </w:p>
    <w:p w:rsidR="009F4136" w:rsidP="009F4136" w:rsidRDefault="009B1D59" w14:paraId="6807E0F7" w14:textId="77777777">
      <w:pPr>
        <w:pStyle w:val="p1a"/>
      </w:pPr>
      <w:r>
        <w:t>The Lecture Notes in Computer Science volumes are sent to ISI for inclusion in their Science Citation Index Expanded.</w:t>
      </w:r>
    </w:p>
    <w:p w:rsidR="009F4136" w:rsidP="009F4136" w:rsidRDefault="009F4136" w14:paraId="114E5CBE" w14:textId="77777777">
      <w:pPr>
        <w:pStyle w:val="p1a"/>
      </w:pPr>
    </w:p>
    <w:p w:rsidRPr="009F4136" w:rsidR="009F4136" w:rsidP="55A07641" w:rsidRDefault="009F4136" w14:paraId="6556545C" w14:textId="3841F473">
      <w:pPr>
        <w:pStyle w:val="heading10"/>
      </w:pPr>
      <w:r w:rsidR="1756C6BC">
        <w:rPr/>
        <w:t xml:space="preserve">6   </w:t>
      </w:r>
      <w:r w:rsidR="78F70891">
        <w:rPr/>
        <w:t>Conclusion</w:t>
      </w:r>
    </w:p>
    <w:p w:rsidRPr="009F4136" w:rsidR="009F4136" w:rsidP="009F4136" w:rsidRDefault="009F4136" w14:textId="77777777" w14:paraId="40BA94E7">
      <w:pPr>
        <w:pStyle w:val="p1a"/>
      </w:pPr>
      <w:r w:rsidR="1756C6BC">
        <w:rPr/>
        <w:t>The Lecture Notes in Computer Science volumes are sent to ISI for inclusion in their Science Citation Index Expanded.</w:t>
      </w:r>
    </w:p>
    <w:p w:rsidRPr="009F4136" w:rsidR="009F4136" w:rsidP="009F4136" w:rsidRDefault="009F4136" w14:textId="77777777" w14:paraId="577FB19F">
      <w:pPr>
        <w:pStyle w:val="p1a"/>
      </w:pPr>
    </w:p>
    <w:p w:rsidRPr="009F4136" w:rsidR="009F4136" w:rsidP="009F4136" w:rsidRDefault="009F4136" w14:paraId="0648A5EA" w14:textId="54555A8C">
      <w:pPr>
        <w:pStyle w:val="p1a"/>
      </w:pPr>
      <w:r w:rsidRPr="55A07641" w:rsidR="6F550AED">
        <w:rPr>
          <w:rStyle w:val="heading3Zchn"/>
        </w:rPr>
        <w:t>Acknowledgments.</w:t>
      </w:r>
      <w:r w:rsidR="6F550AED">
        <w:rPr/>
        <w:t xml:space="preserve"> The heading should be treated as a 3</w:t>
      </w:r>
      <w:r w:rsidRPr="55A07641" w:rsidR="6F550AED">
        <w:rPr>
          <w:vertAlign w:val="superscript"/>
        </w:rPr>
        <w:t>rd</w:t>
      </w:r>
      <w:r w:rsidR="6F550AED">
        <w:rPr/>
        <w:t xml:space="preserve"> level heading and should not be assigned a number.</w:t>
      </w:r>
    </w:p>
    <w:p w:rsidRPr="009A3755" w:rsidR="009B1D59" w:rsidP="009942DC" w:rsidRDefault="009B1D59" w14:paraId="2C11C106" w14:textId="77777777">
      <w:pPr>
        <w:pStyle w:val="heading10"/>
      </w:pPr>
      <w:r w:rsidRPr="009A3755">
        <w:t>References</w:t>
      </w:r>
    </w:p>
    <w:p w:rsidR="009B1D59" w:rsidP="009970E3" w:rsidRDefault="009B1D59" w14:paraId="665A0AA7" w14:textId="6E9056B2">
      <w:pPr>
        <w:pStyle w:val="reference"/>
      </w:pPr>
      <w:r w:rsidR="381BDBF5">
        <w:rPr/>
        <w:t xml:space="preserve">1. </w:t>
      </w:r>
      <w:r w:rsidR="090BC328">
        <w:rPr/>
        <w:t xml:space="preserve">Mann, N., et al. (2017). Capacity Expansion and Dispatch Modeling: Model Documentation and Results for ERCOT Scenarios. White Paper UTEI/2017-4-14. Retrieved from http://energy.utexas.edu/the-full-cost-of-electricity-fce/ </w:t>
      </w:r>
    </w:p>
    <w:p w:rsidR="009B1D59" w:rsidP="009970E3" w:rsidRDefault="009B1D59" w14:paraId="133CF4BB" w14:textId="1D8BD308">
      <w:pPr>
        <w:pStyle w:val="reference"/>
      </w:pPr>
      <w:r w:rsidR="090BC328">
        <w:rPr/>
        <w:t xml:space="preserve">2. Slattery, Michael C., et al. “State and Local Economic Impacts from Wind Energy Projects: Texas Case Study.” Energy Policy, vol. 39, no. 12, 2011, pp. 7930–40, https://doi.org/10.1016/j.enpol.2011.09.047. </w:t>
      </w:r>
    </w:p>
    <w:p w:rsidR="009B1D59" w:rsidP="009970E3" w:rsidRDefault="009B1D59" w14:paraId="27AA16DB" w14:textId="3A9E2816">
      <w:pPr>
        <w:pStyle w:val="reference"/>
      </w:pPr>
      <w:r w:rsidR="090BC328">
        <w:rPr/>
        <w:t xml:space="preserve">3. Ruthford, Adam </w:t>
      </w:r>
      <w:r w:rsidR="090BC328">
        <w:rPr/>
        <w:t>R.</w:t>
      </w:r>
      <w:r w:rsidR="090BC328">
        <w:rPr/>
        <w:t xml:space="preserve"> and Sadler, Bivin (2021) "Modeling Electric Energy Generation in ERCOT during Extreme Weather Events and the Impact Renewable Energy has on Grid Reliability," SMU Data Science Review: Vol. 5: No. 3, Article 6. </w:t>
      </w:r>
    </w:p>
    <w:p w:rsidR="009B1D59" w:rsidP="009970E3" w:rsidRDefault="009B1D59" w14:paraId="44BFA3C1" w14:textId="610E5C63">
      <w:pPr>
        <w:pStyle w:val="reference"/>
      </w:pPr>
      <w:r w:rsidR="090BC328">
        <w:rPr/>
        <w:t xml:space="preserve">4. Haviv, </w:t>
      </w:r>
      <w:r w:rsidR="090BC328">
        <w:rPr/>
        <w:t>Shimry</w:t>
      </w:r>
      <w:r w:rsidR="090BC328">
        <w:rPr/>
        <w:t xml:space="preserve">, et al. “Luminescent Solar </w:t>
      </w:r>
      <w:r w:rsidR="090BC328">
        <w:rPr/>
        <w:t>PowerPV</w:t>
      </w:r>
      <w:r w:rsidR="090BC328">
        <w:rPr/>
        <w:t>/Thermal Hybrid Electricity Generation for Cost-Effective Dispatchable Solar Energy.” ACS Applied Materials &amp; Interfaces, vol. 12, no. 32, 2020, pp. 36040–45, https://doi.org/10.1021/acsami.0c08185</w:t>
      </w:r>
      <w:r w:rsidR="090BC328">
        <w:rPr/>
        <w:t xml:space="preserve">.  </w:t>
      </w:r>
    </w:p>
    <w:p w:rsidR="009B1D59" w:rsidP="009970E3" w:rsidRDefault="009B1D59" w14:paraId="12C23CF7" w14:textId="23BBEEDD">
      <w:pPr>
        <w:pStyle w:val="reference"/>
      </w:pPr>
      <w:r w:rsidR="090BC328">
        <w:rPr/>
        <w:t>5. Golestaneh</w:t>
      </w:r>
      <w:r w:rsidR="090BC328">
        <w:rPr/>
        <w:t xml:space="preserve">, Faranak, et al. “Very Short-Term Nonparametric Probabilistic Forecasting of Renewable Energy Generation- With Application to Solar Energy.” IEEE Transactions on Power Systems, vol. 31, no. 5, 2016, pp. 3850–63, https://doi.org/10.1109/TPWRS.2015.2502423. </w:t>
      </w:r>
    </w:p>
    <w:p w:rsidR="009B1D59" w:rsidP="009970E3" w:rsidRDefault="009B1D59" w14:paraId="230C93E4" w14:textId="18BEEAD6">
      <w:pPr>
        <w:pStyle w:val="reference"/>
      </w:pPr>
      <w:r w:rsidR="090BC328">
        <w:rPr/>
        <w:t xml:space="preserve">6. Woo, C. K., et al. “Regional Revenues of Solar and Wind Generation in Texas.” Energy Policy, vol. 178, 2023, p. 113586–, https://doi.org/10.1016/j.enpol.2023.113586. </w:t>
      </w:r>
    </w:p>
    <w:p w:rsidR="009B1D59" w:rsidP="009970E3" w:rsidRDefault="009B1D59" w14:paraId="28743A1B" w14:textId="4B00439B">
      <w:pPr>
        <w:pStyle w:val="reference"/>
      </w:pPr>
      <w:r w:rsidR="090BC328">
        <w:rPr/>
        <w:t xml:space="preserve">7. Rudolph, Mary, and Paul Damien. “The Impact of Renewable Energy Tax Incentives on Electricity Pricing in Texas.” Applied Sciences, vol. 13, no. 14, 2023, p. 8532–, https://doi.org/10.3390/app13148532. </w:t>
      </w:r>
    </w:p>
    <w:p w:rsidR="009B1D59" w:rsidP="009970E3" w:rsidRDefault="009B1D59" w14:paraId="729FB4A8" w14:textId="2E191461">
      <w:pPr>
        <w:pStyle w:val="reference"/>
      </w:pPr>
      <w:r w:rsidR="090BC328">
        <w:rPr/>
        <w:t xml:space="preserve">8. Zhang, </w:t>
      </w:r>
      <w:r w:rsidR="090BC328">
        <w:rPr/>
        <w:t>Guanglun</w:t>
      </w:r>
      <w:r w:rsidR="090BC328">
        <w:rPr/>
        <w:t xml:space="preserve">, et al. “Texas Electric Power Crisis of 2021 Warns of a New Blackout Mechanism.” CSEE Journal of Power and Energy Systems, vol. 8, no. 1, 2022, pp. 1–9, https://doi.org/10.17775/CSEEJPES.2021.07720. </w:t>
      </w:r>
    </w:p>
    <w:p w:rsidR="009B1D59" w:rsidP="009970E3" w:rsidRDefault="009B1D59" w14:paraId="6E092B50" w14:textId="4B654831">
      <w:pPr>
        <w:pStyle w:val="reference"/>
      </w:pPr>
      <w:r w:rsidR="090BC328">
        <w:rPr/>
        <w:t xml:space="preserve">9. Thomas Popik, and Richard Humphreys. “The 2021 Texas Blackouts: Causes, Consequences, and Cures.” The Journal of Critical Infrastructure Policy, vol. 2, no. 1, 2021, https://doi.org/10.18278/jcip.2.1.6. </w:t>
      </w:r>
    </w:p>
    <w:p w:rsidR="009B1D59" w:rsidP="009970E3" w:rsidRDefault="009B1D59" w14:paraId="33847320" w14:textId="1FA9A427">
      <w:pPr>
        <w:pStyle w:val="reference"/>
      </w:pPr>
      <w:r w:rsidR="090BC328">
        <w:rPr/>
        <w:t xml:space="preserve">10. Amonkar, Yash, et al. “A k-Nearest Neighbor Space-Time Simulator with Applications to Large-Scale Wind and Solar Power Modeling.” Patterns (New York, N.Y.), vol. 3, no. 3, 2022, pp. 100454–100454, https://doi.org/10.1016/j.patter.2022.100454. </w:t>
      </w:r>
    </w:p>
    <w:p w:rsidR="009B1D59" w:rsidP="009970E3" w:rsidRDefault="009B1D59" w14:paraId="41E3733D" w14:textId="77D674D4">
      <w:pPr>
        <w:pStyle w:val="reference"/>
      </w:pPr>
      <w:r w:rsidR="090BC328">
        <w:rPr/>
        <w:t xml:space="preserve">11. Solar Electric Power Generation (Solar Energy) Industry (U.S.): 221114. (2023). In Solar Electric Power Generation (Solar Energy) Industry [U.S.]. Plunkett Research, Ltd. https://link-gale-com.proxy.libraries.smu.edu/apps/doc/IYIJRP840188069/GBIB?u=txshracd2548&amp;sid=bookmark-GBIB&amp;xid=4766d824 </w:t>
      </w:r>
    </w:p>
    <w:p w:rsidR="009B1D59" w:rsidP="009970E3" w:rsidRDefault="009B1D59" w14:paraId="349EFE9C" w14:textId="7F5794F6">
      <w:pPr>
        <w:pStyle w:val="reference"/>
      </w:pPr>
      <w:r w:rsidR="090BC328">
        <w:rPr/>
        <w:t xml:space="preserve">12. Akhadov, J.Z. Study of the Performance Characteristics of a Solar Concentrator for Production of Thermal Energy. Appl. Sol. Energy 59, 169–175 (2023). https://doi-org.proxy.libraries.smu.edu/10.3103/S0003701X23600765 </w:t>
      </w:r>
    </w:p>
    <w:p w:rsidR="009B1D59" w:rsidP="009970E3" w:rsidRDefault="009B1D59" w14:paraId="38469276" w14:textId="70668D3E">
      <w:pPr>
        <w:pStyle w:val="reference"/>
      </w:pPr>
      <w:r w:rsidR="090BC328">
        <w:rPr/>
        <w:t xml:space="preserve">13. Mekhilef, S., et al. “A Review on Solar Energy Use in Industries.” Renewable and Sustainable Energy Reviews, vol. 15, no. 4, May 2011, pp. 1777–1790, https://doi.org/10.1016/j.rser.2010.12.018. </w:t>
      </w:r>
    </w:p>
    <w:p w:rsidR="009B1D59" w:rsidP="009970E3" w:rsidRDefault="009B1D59" w14:paraId="0C0CB3B8" w14:textId="1DE394ED">
      <w:pPr>
        <w:pStyle w:val="reference"/>
      </w:pPr>
      <w:r w:rsidR="090BC328">
        <w:rPr/>
        <w:t xml:space="preserve">14. Siu, K. K., </w:t>
      </w:r>
      <w:r w:rsidR="090BC328">
        <w:rPr/>
        <w:t>Adapala</w:t>
      </w:r>
      <w:r w:rsidR="090BC328">
        <w:rPr/>
        <w:t xml:space="preserve">, K. R., &amp;amp; Wu, D. (2023). Solar Energy Modeling and Assessment in Texas. 2023 IEEE 16th Dallas Circuits and Systems Conference (DCAS). https://doi.org/10.1109/dcas57389.2023.10130234. </w:t>
      </w:r>
    </w:p>
    <w:p w:rsidR="009B1D59" w:rsidP="009970E3" w:rsidRDefault="009B1D59" w14:paraId="34089FFC" w14:textId="0D309989">
      <w:pPr>
        <w:pStyle w:val="reference"/>
      </w:pPr>
      <w:r w:rsidR="090BC328">
        <w:rPr/>
        <w:t xml:space="preserve">15. Balal, A., Pakzad </w:t>
      </w:r>
      <w:r w:rsidR="090BC328">
        <w:rPr/>
        <w:t>Jafarabadi</w:t>
      </w:r>
      <w:r w:rsidR="090BC328">
        <w:rPr/>
        <w:t xml:space="preserve">, Y., Demir, A., Igene, M., </w:t>
      </w:r>
      <w:r w:rsidR="090BC328">
        <w:rPr/>
        <w:t>Giesselmann</w:t>
      </w:r>
      <w:r w:rsidR="090BC328">
        <w:rPr/>
        <w:t xml:space="preserve">, M., &amp; Bayne, S. (2023). Forecasting solar power generation </w:t>
      </w:r>
      <w:r w:rsidR="090BC328">
        <w:rPr/>
        <w:t>utilizing</w:t>
      </w:r>
      <w:r w:rsidR="090BC328">
        <w:rPr/>
        <w:t xml:space="preserve"> machine learning models in Lubbock. Emerging Science Journal, 7(4), 1052–1062. https://doi.org/10.28991/esj-2023-07-04-02 </w:t>
      </w:r>
    </w:p>
    <w:p w:rsidR="009B1D59" w:rsidP="009970E3" w:rsidRDefault="009B1D59" w14:paraId="3CBC9817" w14:textId="198517BD">
      <w:pPr>
        <w:pStyle w:val="reference"/>
      </w:pPr>
      <w:r w:rsidR="090BC328">
        <w:rPr/>
        <w:t>16. Al-</w:t>
      </w:r>
      <w:r w:rsidR="090BC328">
        <w:rPr/>
        <w:t>Aboosi</w:t>
      </w:r>
      <w:r w:rsidR="090BC328">
        <w:rPr/>
        <w:t xml:space="preserve">, F. Y. (2019). Models and hierarchical methodologies for evaluating solar energy availability under different sky conditions toward enhancing concentrating solar collectors use: Texas as a case study. International Journal of Energy and Environmental Engineering, 11(2), 177–205. https://doi.org/10.1007/s40095-019-00326-z  </w:t>
      </w:r>
    </w:p>
    <w:p w:rsidR="009B1D59" w:rsidP="009970E3" w:rsidRDefault="009B1D59" w14:paraId="5D0944DF" w14:textId="1106A9E1">
      <w:pPr>
        <w:pStyle w:val="reference"/>
      </w:pPr>
      <w:r w:rsidR="090BC328">
        <w:rPr/>
        <w:t xml:space="preserve">17. Gerges, F., </w:t>
      </w:r>
      <w:r w:rsidR="090BC328">
        <w:rPr/>
        <w:t>Boufadel</w:t>
      </w:r>
      <w:r w:rsidR="090BC328">
        <w:rPr/>
        <w:t xml:space="preserve">, M. C., Bou-Zeid, E., Nassif, H., &amp;amp; Wang, J. T. (2023). Long-term prediction of daily solar irradiance using Bayesian Deep Learning and Climate Simulation Data. Knowledge and Information Systems. https://doi.org/10.1007/s10115-023-01955-x  </w:t>
      </w:r>
    </w:p>
    <w:p w:rsidR="009B1D59" w:rsidP="009970E3" w:rsidRDefault="009B1D59" w14:paraId="450FEBC2" w14:textId="0FCC8F01">
      <w:pPr>
        <w:pStyle w:val="reference"/>
      </w:pPr>
      <w:r w:rsidR="090BC328">
        <w:rPr/>
        <w:t>18. Devitt, D. A., Young, M. H., &amp; Pierre, J. P. (2020). Assessing the potential for greater solar development in West Texas, USA. Energy Strategy Reviews, 29, 100490. https://doi.org/10.1016/j.esr.2020.100490</w:t>
      </w:r>
      <w:r w:rsidR="381BDBF5">
        <w:rPr/>
        <w:t>)</w:t>
      </w:r>
    </w:p>
    <w:p w:rsidR="47B0A859" w:rsidP="55A07641" w:rsidRDefault="47B0A859" w14:paraId="225EB619" w14:textId="5313AC74">
      <w:pPr>
        <w:pStyle w:val="reference"/>
      </w:pPr>
      <w:r w:rsidR="47B0A859">
        <w:rPr/>
        <w:t>19.</w:t>
      </w:r>
      <w:r w:rsidR="258A5A0B">
        <w:rPr/>
        <w:t xml:space="preserve"> Hutson, Matthew. “Artificial Intelligence Faces Reproducibility Crisis.” Science (American Association for the Advancement of Science), vol. 359, no. 6377, 2018, pp. 725–26, https://doi.org/10.1126/science.359.6377.725.</w:t>
      </w:r>
    </w:p>
    <w:p w:rsidR="47B0A859" w:rsidP="55A07641" w:rsidRDefault="47B0A859" w14:paraId="4A4C365F" w14:textId="05CEB4D0">
      <w:pPr>
        <w:pStyle w:val="reference"/>
      </w:pPr>
      <w:r w:rsidR="47B0A859">
        <w:rPr/>
        <w:t>20.</w:t>
      </w:r>
      <w:r w:rsidR="7DDCC104">
        <w:rPr/>
        <w:t xml:space="preserve"> Parashar, Manish, et al. “Research Reproducibility.” Computer (Long Beach, Calif.), vol. 55, no. 8, 2022, pp. 16–18, </w:t>
      </w:r>
      <w:r w:rsidR="7DDCC104">
        <w:rPr/>
        <w:t>https://doi.org/10.1109/MC.2022.3176988</w:t>
      </w:r>
      <w:r w:rsidR="7DDCC104">
        <w:rPr/>
        <w:t>.</w:t>
      </w:r>
    </w:p>
    <w:p w:rsidR="47B0A859" w:rsidP="55A07641" w:rsidRDefault="47B0A859" w14:paraId="77D73D8A" w14:textId="01DC7304">
      <w:pPr>
        <w:pStyle w:val="reference"/>
        <w:rPr>
          <w:color w:val="auto"/>
          <w:u w:val="none"/>
        </w:rPr>
      </w:pPr>
      <w:r w:rsidR="47B0A859">
        <w:rPr>
          <w:u w:val="none"/>
        </w:rPr>
        <w:t>21.</w:t>
      </w:r>
      <w:r w:rsidR="1125C74A">
        <w:rPr>
          <w:u w:val="none"/>
        </w:rPr>
        <w:t xml:space="preserve"> Buck, Stuart. “Solving Reproducibility.” Science (American Association for the Advancement of Science), vol. 348, no. 6242, 2015, pp. 1403–1403, </w:t>
      </w:r>
      <w:r w:rsidRPr="55A07641" w:rsidR="1125C74A">
        <w:rPr>
          <w:color w:val="auto"/>
          <w:u w:val="none"/>
        </w:rPr>
        <w:t>https://doi.org/10.1126/science.aac8041</w:t>
      </w:r>
      <w:r w:rsidRPr="55A07641" w:rsidR="1125C74A">
        <w:rPr>
          <w:color w:val="auto"/>
          <w:u w:val="none"/>
        </w:rPr>
        <w:t>.</w:t>
      </w:r>
    </w:p>
    <w:p w:rsidR="1125C74A" w:rsidP="55A07641" w:rsidRDefault="1125C74A" w14:paraId="11AD0E9C" w14:textId="5C961F8F">
      <w:pPr>
        <w:pStyle w:val="reference"/>
      </w:pPr>
      <w:r w:rsidR="1125C74A">
        <w:rPr/>
        <w:t>22.</w:t>
      </w:r>
      <w:r w:rsidR="1EB4A4E6">
        <w:rPr/>
        <w:t xml:space="preserve"> Gandrud, C. (2018). Reproducible research with R and RStudio. Crc Press, Taylor &amp; Francis Group.</w:t>
      </w:r>
    </w:p>
    <w:p w:rsidR="1125C74A" w:rsidP="55A07641" w:rsidRDefault="1125C74A" w14:paraId="55CD7353" w14:textId="6B69FF9F">
      <w:pPr>
        <w:pStyle w:val="reference"/>
      </w:pPr>
      <w:r w:rsidR="1125C74A">
        <w:rPr/>
        <w:t>23.</w:t>
      </w:r>
      <w:r w:rsidR="39ADE9BC">
        <w:rPr/>
        <w:t xml:space="preserve"> Cruz Mendoza, Mariee, et al. “Feasibility Analysis of Promoting Wind and Solar Energy in Texas Farms.” Sustainability (Basel, Switzerland), vol. 14, no. 4, 2022, p. 2222–, https://doi.org/10.3390/su14042222.</w:t>
      </w:r>
    </w:p>
    <w:p w:rsidR="1125C74A" w:rsidP="55A07641" w:rsidRDefault="1125C74A" w14:paraId="2D9FA6FB" w14:textId="53BA62B7">
      <w:pPr>
        <w:pStyle w:val="reference"/>
      </w:pPr>
      <w:r w:rsidR="1125C74A">
        <w:rPr/>
        <w:t>24.</w:t>
      </w:r>
      <w:r w:rsidR="55CC725B">
        <w:rPr/>
        <w:t xml:space="preserve"> Bixler, R. Patrick, et al. “An Observatory Framework for Metropolitan Change: Understanding Urban Social–Ecological–Technical Systems in Texas and Beyond.” Sustainability (Basel, Switzerland), vol. 11, no. 13, 2019, p. 3611–, </w:t>
      </w:r>
      <w:r w:rsidR="55CC725B">
        <w:rPr/>
        <w:t>https://doi.org/10.3390/su11133611</w:t>
      </w:r>
      <w:r w:rsidR="55CC725B">
        <w:rPr/>
        <w:t>.</w:t>
      </w:r>
    </w:p>
    <w:p w:rsidR="1125C74A" w:rsidP="55A07641" w:rsidRDefault="1125C74A" w14:paraId="4B01F55E" w14:textId="7E6C8DCD">
      <w:pPr>
        <w:pStyle w:val="reference"/>
      </w:pPr>
      <w:r w:rsidR="1125C74A">
        <w:rPr/>
        <w:t>25.</w:t>
      </w:r>
      <w:r w:rsidR="0CB761AF">
        <w:rPr/>
        <w:t xml:space="preserve"> Hanke, Florian, and Jens Lowitzsch. “Empowering Vulnerable Consumers to Join Renewable Energy Communities—Towards an Inclusive Design of the Clean Energy Package.” Energies (Basel), vol. 13, no. 7, 2020, p. 1615–, </w:t>
      </w:r>
      <w:r w:rsidR="0CB761AF">
        <w:rPr/>
        <w:t>https://doi.org/10.3390/en13071615</w:t>
      </w:r>
      <w:r w:rsidR="0CB761AF">
        <w:rPr/>
        <w:t>.</w:t>
      </w:r>
    </w:p>
    <w:p w:rsidR="0CB761AF" w:rsidP="55A07641" w:rsidRDefault="0CB761AF" w14:paraId="526B7F6E" w14:textId="1D25146D">
      <w:pPr>
        <w:pStyle w:val="reference"/>
      </w:pPr>
      <w:r w:rsidR="0CB761AF">
        <w:rPr/>
        <w:t>26.</w:t>
      </w:r>
    </w:p>
    <w:p w:rsidR="55A07641" w:rsidP="55A07641" w:rsidRDefault="55A07641" w14:paraId="1078728B" w14:textId="514415F0">
      <w:pPr>
        <w:pStyle w:val="reference"/>
      </w:pPr>
    </w:p>
    <w:p w:rsidR="55A07641" w:rsidP="55A07641" w:rsidRDefault="55A07641" w14:paraId="75BB1CBF" w14:textId="75F4F805">
      <w:pPr>
        <w:pStyle w:val="reference"/>
      </w:pPr>
    </w:p>
    <w:p w:rsidR="55A07641" w:rsidP="55A07641" w:rsidRDefault="55A07641" w14:paraId="77EC574A" w14:textId="0B3CDE8E">
      <w:pPr>
        <w:pStyle w:val="reference"/>
      </w:pPr>
    </w:p>
    <w:p w:rsidR="55A07641" w:rsidP="55A07641" w:rsidRDefault="55A07641" w14:paraId="2980B191" w14:textId="5D7EE2AA">
      <w:pPr>
        <w:pStyle w:val="reference"/>
      </w:pPr>
    </w:p>
    <w:p w:rsidR="55A07641" w:rsidP="55A07641" w:rsidRDefault="55A07641" w14:paraId="449C4DDE" w14:textId="2CF851DE">
      <w:pPr>
        <w:pStyle w:val="reference"/>
      </w:pPr>
    </w:p>
    <w:p w:rsidR="7A8F7B93" w:rsidP="55A07641" w:rsidRDefault="7A8F7B93" w14:paraId="7E01CF72" w14:textId="7A788CF1">
      <w:pPr>
        <w:pStyle w:val="reference"/>
      </w:pPr>
      <w:r w:rsidR="7A8F7B93">
        <w:rPr/>
        <w:t>Notes:</w:t>
      </w:r>
    </w:p>
    <w:p w:rsidR="486110AE" w:rsidP="55A07641" w:rsidRDefault="486110AE" w14:paraId="1859DD39">
      <w:pPr>
        <w:pStyle w:val="heading20"/>
      </w:pPr>
      <w:r w:rsidR="486110AE">
        <w:rPr/>
        <w:t xml:space="preserve">2.1   Figures </w:t>
      </w:r>
    </w:p>
    <w:p w:rsidR="486110AE" w:rsidP="55A07641" w:rsidRDefault="486110AE" w14:paraId="2245FDDA">
      <w:pPr>
        <w:ind w:firstLine="0"/>
      </w:pPr>
      <w:r w:rsidR="486110AE">
        <w:rPr/>
        <w:t xml:space="preserve">Please check that the lines in line drawings are not interrupted and have a constant width. Grids and details within the figures must be clearly legible and may not be written one on top of the other. Line drawings should have a resolution of at least 800 dpi (preferably 1200 dpi). The lettering in figures should have a height of 2 mm (10-point type).  Figures should be numbered and should have a caption which should always be positioned </w:t>
      </w:r>
      <w:r w:rsidRPr="55A07641" w:rsidR="486110AE">
        <w:rPr>
          <w:i w:val="1"/>
          <w:iCs w:val="1"/>
        </w:rPr>
        <w:t>under</w:t>
      </w:r>
      <w:r w:rsidR="486110AE">
        <w:rPr/>
        <w:t xml:space="preserve"> the figures, in contrast to the caption belonging to a table, which should always appear </w:t>
      </w:r>
      <w:r w:rsidRPr="55A07641" w:rsidR="486110AE">
        <w:rPr>
          <w:i w:val="1"/>
          <w:iCs w:val="1"/>
        </w:rPr>
        <w:t>above</w:t>
      </w:r>
      <w:r w:rsidR="486110AE">
        <w:rPr/>
        <w:t xml:space="preserve"> the table. Please center the captions between the margins and set them in 9-point type (Fig. 1 shows an example). The distance between text and figure should be about 8 mm, the distance between figure and caption about 6 mm. </w:t>
      </w:r>
    </w:p>
    <w:p w:rsidR="486110AE" w:rsidRDefault="486110AE" w14:paraId="0A377DA6">
      <w:r w:rsidR="486110AE">
        <w:rPr/>
        <w:t xml:space="preserve">To ensure that the reproduction of your illustrations is of a reasonable quality, we advise against the use of shading. The contrast should be as pronounced as possible. </w:t>
      </w:r>
    </w:p>
    <w:p w:rsidR="486110AE" w:rsidRDefault="486110AE" w14:paraId="403FF8E5">
      <w:r w:rsidR="486110AE">
        <w:rPr/>
        <w:t xml:space="preserve">If screenshots are necessary, please make sure that you are happy with the print quality before you send the files. </w:t>
      </w:r>
    </w:p>
    <w:p w:rsidR="486110AE" w:rsidP="55A07641" w:rsidRDefault="486110AE" w14:paraId="29225652">
      <w:pPr>
        <w:pStyle w:val="heading40"/>
      </w:pPr>
      <w:r w:rsidR="486110AE">
        <w:rPr/>
        <w:t xml:space="preserve">Remark 1. </w:t>
      </w:r>
      <w:r w:rsidRPr="55A07641" w:rsidR="486110AE">
        <w:rPr>
          <w:i w:val="0"/>
          <w:iCs w:val="0"/>
        </w:rPr>
        <w:t>In the printed volumes, illustrations are generally black and white (halftones),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p>
    <w:p w:rsidR="486110AE" w:rsidP="55A07641" w:rsidRDefault="486110AE" w14:paraId="5FB1BBC3">
      <w:pPr>
        <w:keepNext w:val="1"/>
        <w:spacing w:before="220" w:after="220"/>
        <w:jc w:val="center"/>
      </w:pPr>
      <w:r w:rsidR="486110AE">
        <w:drawing>
          <wp:inline wp14:editId="07703E1B" wp14:anchorId="54164CC9">
            <wp:extent cx="3333750" cy="3054350"/>
            <wp:effectExtent l="0" t="0" r="0" b="0"/>
            <wp:docPr id="917640987" name="Picture 1" title=""/>
            <wp:cNvGraphicFramePr>
              <a:graphicFrameLocks/>
            </wp:cNvGraphicFramePr>
            <a:graphic>
              <a:graphicData uri="http://schemas.openxmlformats.org/drawingml/2006/picture">
                <pic:pic>
                  <pic:nvPicPr>
                    <pic:cNvPr id="0" name="Picture 1"/>
                    <pic:cNvPicPr/>
                  </pic:nvPicPr>
                  <pic:blipFill>
                    <a:blip r:embed="Rcaaba19066fc4e5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333750" cy="30543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486110AE" w:rsidP="55A07641" w:rsidRDefault="486110AE" w14:paraId="3013E167">
      <w:pPr>
        <w:pStyle w:val="figurelegend"/>
      </w:pPr>
      <w:r w:rsidRPr="55A07641" w:rsidR="486110AE">
        <w:rPr>
          <w:b w:val="1"/>
          <w:bCs w:val="1"/>
        </w:rPr>
        <w:t xml:space="preserve">Fig. </w:t>
      </w:r>
      <w:r w:rsidRPr="55A07641">
        <w:rPr>
          <w:b w:val="1"/>
          <w:bCs w:val="1"/>
        </w:rPr>
        <w:fldChar w:fldCharType="begin"/>
      </w:r>
      <w:r w:rsidRPr="55A07641">
        <w:rPr>
          <w:b w:val="1"/>
          <w:bCs w:val="1"/>
        </w:rPr>
        <w:instrText xml:space="preserve"> SEQ Fig. \n </w:instrText>
      </w:r>
      <w:r w:rsidRPr="55A07641">
        <w:rPr>
          <w:b w:val="1"/>
          <w:bCs w:val="1"/>
        </w:rPr>
        <w:fldChar w:fldCharType="separate"/>
      </w:r>
      <w:r w:rsidRPr="55A07641" w:rsidR="486110AE">
        <w:rPr>
          <w:b w:val="1"/>
          <w:bCs w:val="1"/>
          <w:noProof/>
        </w:rPr>
        <w:t>1</w:t>
      </w:r>
      <w:r w:rsidRPr="55A07641">
        <w:rPr>
          <w:b w:val="1"/>
          <w:bCs w:val="1"/>
        </w:rPr>
        <w:fldChar w:fldCharType="end"/>
      </w:r>
      <w:r w:rsidRPr="55A07641" w:rsidR="486110AE">
        <w:rPr>
          <w:b w:val="1"/>
          <w:bCs w:val="1"/>
        </w:rPr>
        <w:t>.</w:t>
      </w:r>
      <w:r w:rsidR="486110AE">
        <w:rPr/>
        <w:t xml:space="preserve"> One kernel at </w:t>
      </w:r>
      <w:r w:rsidRPr="55A07641" w:rsidR="486110AE">
        <w:rPr>
          <w:i w:val="1"/>
          <w:iCs w:val="1"/>
        </w:rPr>
        <w:t>xs</w:t>
      </w:r>
      <w:r w:rsidR="486110AE">
        <w:rPr/>
        <w:t xml:space="preserve"> (</w:t>
      </w:r>
      <w:r w:rsidRPr="55A07641" w:rsidR="486110AE">
        <w:rPr>
          <w:i w:val="1"/>
          <w:iCs w:val="1"/>
        </w:rPr>
        <w:t>dotted kernel</w:t>
      </w:r>
      <w:r w:rsidR="486110AE">
        <w:rPr/>
        <w:t xml:space="preserve">) or two kernels at </w:t>
      </w:r>
      <w:r w:rsidRPr="55A07641" w:rsidR="486110AE">
        <w:rPr>
          <w:i w:val="1"/>
          <w:iCs w:val="1"/>
        </w:rPr>
        <w:t>xi</w:t>
      </w:r>
      <w:r w:rsidR="486110AE">
        <w:rPr/>
        <w:t xml:space="preserve"> and </w:t>
      </w:r>
      <w:r w:rsidRPr="55A07641" w:rsidR="486110AE">
        <w:rPr>
          <w:i w:val="1"/>
          <w:iCs w:val="1"/>
        </w:rPr>
        <w:t>xj</w:t>
      </w:r>
      <w:r w:rsidR="486110AE">
        <w:rPr/>
        <w:t xml:space="preserve"> (</w:t>
      </w:r>
      <w:r w:rsidRPr="55A07641" w:rsidR="486110AE">
        <w:rPr>
          <w:i w:val="1"/>
          <w:iCs w:val="1"/>
        </w:rPr>
        <w:t>left and right</w:t>
      </w:r>
      <w:r w:rsidR="486110AE">
        <w:rPr/>
        <w:t xml:space="preserve">) lead to the same summed estimate at </w:t>
      </w:r>
      <w:r w:rsidRPr="55A07641" w:rsidR="486110AE">
        <w:rPr>
          <w:i w:val="1"/>
          <w:iCs w:val="1"/>
        </w:rPr>
        <w:t>xs</w:t>
      </w:r>
      <w:r w:rsidR="486110AE">
        <w:rPr/>
        <w:t xml:space="preserve">. This shows a figure consisting of different types of lines. Elements of the figure described in the caption should be set in italics, in parentheses, as shown in this sample caption. </w:t>
      </w:r>
    </w:p>
    <w:p w:rsidR="486110AE" w:rsidP="55A07641" w:rsidRDefault="486110AE" w14:paraId="14EDB4DC">
      <w:pPr>
        <w:pStyle w:val="heading20"/>
      </w:pPr>
      <w:r w:rsidR="486110AE">
        <w:rPr/>
        <w:t>2.2   Formulas</w:t>
      </w:r>
    </w:p>
    <w:p w:rsidR="486110AE" w:rsidP="55A07641" w:rsidRDefault="486110AE" w14:paraId="63EE0492">
      <w:pPr>
        <w:pStyle w:val="figurelegend"/>
        <w:rPr>
          <w:sz w:val="20"/>
          <w:szCs w:val="20"/>
        </w:rPr>
      </w:pPr>
      <w:r w:rsidRPr="55A07641" w:rsidR="486110AE">
        <w:rPr>
          <w:sz w:val="20"/>
          <w:szCs w:val="20"/>
        </w:rPr>
        <w:t xml:space="preserve">Displayed equations or formulas are centered and set on a separate line (with an extra line or halfline space above and below). Displayed expressions should be numbered for reference. The numbers should be consecutive within each section or within the contribution, with numbers enclosed in parentheses and set on the right margin. </w:t>
      </w:r>
    </w:p>
    <w:tbl>
      <w:tblPr>
        <w:tblW w:w="0" w:type="auto"/>
        <w:tblLook w:val="0000" w:firstRow="0" w:lastRow="0" w:firstColumn="0" w:lastColumn="0" w:noHBand="0" w:noVBand="0"/>
      </w:tblPr>
      <w:tblGrid>
        <w:gridCol w:w="6449"/>
        <w:gridCol w:w="608"/>
      </w:tblGrid>
      <w:tr w:rsidR="55A07641" w:rsidTr="55A07641" w14:paraId="2C5734E1">
        <w:trPr>
          <w:trHeight w:val="300"/>
        </w:trPr>
        <w:tc>
          <w:tcPr>
            <w:tcW w:w="6449" w:type="dxa"/>
            <w:tcMar/>
          </w:tcPr>
          <w:p w:rsidR="55A07641" w:rsidP="55A07641" w:rsidRDefault="55A07641" w14:paraId="7479C2B8">
            <w:pPr>
              <w:pStyle w:val="equation"/>
              <w:tabs>
                <w:tab w:val="clear" w:leader="none" w:pos="6237"/>
              </w:tabs>
              <w:ind w:left="0" w:firstLine="0"/>
            </w:pPr>
            <w:r w:rsidR="55A07641">
              <w:rPr/>
              <w:t>x + y = z .</w:t>
            </w:r>
          </w:p>
        </w:tc>
        <w:tc>
          <w:tcPr>
            <w:tcW w:w="608" w:type="dxa"/>
            <w:tcMar/>
          </w:tcPr>
          <w:p w:rsidR="55A07641" w:rsidP="55A07641" w:rsidRDefault="55A07641" w14:paraId="2058A6A6">
            <w:pPr>
              <w:pStyle w:val="equation"/>
              <w:tabs>
                <w:tab w:val="clear" w:leader="none" w:pos="6237"/>
              </w:tabs>
              <w:ind w:left="0" w:firstLine="0"/>
              <w:jc w:val="right"/>
            </w:pPr>
            <w:r w:rsidR="55A07641">
              <w:rPr/>
              <w:t>(</w:t>
            </w:r>
            <w:r w:rsidRPr="55A07641">
              <w:rPr>
                <w:b w:val="1"/>
                <w:bCs w:val="1"/>
              </w:rPr>
              <w:fldChar w:fldCharType="begin"/>
            </w:r>
            <w:r w:rsidRPr="55A07641">
              <w:rPr>
                <w:b w:val="1"/>
                <w:bCs w:val="1"/>
              </w:rPr>
              <w:instrText xml:space="preserve"> SEQ eq \n </w:instrText>
            </w:r>
            <w:r w:rsidRPr="55A07641">
              <w:rPr>
                <w:b w:val="1"/>
                <w:bCs w:val="1"/>
              </w:rPr>
              <w:fldChar w:fldCharType="separate"/>
            </w:r>
            <w:r w:rsidRPr="55A07641" w:rsidR="55A07641">
              <w:rPr>
                <w:b w:val="1"/>
                <w:bCs w:val="1"/>
                <w:noProof/>
              </w:rPr>
              <w:t>1</w:t>
            </w:r>
            <w:r w:rsidRPr="55A07641">
              <w:rPr>
                <w:b w:val="1"/>
                <w:bCs w:val="1"/>
              </w:rPr>
              <w:fldChar w:fldCharType="end"/>
            </w:r>
            <w:r w:rsidR="55A07641">
              <w:rPr/>
              <w:t>)</w:t>
            </w:r>
          </w:p>
        </w:tc>
      </w:tr>
    </w:tbl>
    <w:p w:rsidR="55A07641" w:rsidRDefault="55A07641" w14:paraId="5954209C"/>
    <w:p w:rsidR="486110AE" w:rsidRDefault="486110AE" w14:paraId="2A5D9389">
      <w:r w:rsidR="486110AE">
        <w:rPr/>
        <w:t xml:space="preserve">Please punctuate a displayed equation in the same way as ordinary text but with a small space before the end punctuation. </w:t>
      </w:r>
    </w:p>
    <w:p w:rsidR="6706FE3C" w:rsidP="55A07641" w:rsidRDefault="6706FE3C" w14:paraId="4980CFF6" w14:textId="545C569A">
      <w:pPr>
        <w:pStyle w:val="heading20"/>
      </w:pPr>
      <w:r w:rsidR="6706FE3C">
        <w:rPr/>
        <w:t>2.3   Footnotes</w:t>
      </w:r>
    </w:p>
    <w:p w:rsidR="6706FE3C" w:rsidP="55A07641" w:rsidRDefault="6706FE3C" w14:paraId="38D58AE1" w14:textId="269F28EC">
      <w:pPr>
        <w:pStyle w:val="p1a"/>
      </w:pPr>
      <w:r w:rsidR="6706FE3C">
        <w:rPr/>
        <w:t xml:space="preserve">The superscript numeral used to refer to a footnote appears in the text either directly after the word to be discussed or – in relation to a phrase or a sentence – following the punctuation mark (comma, semicolon, or period). Footnotes should appear at the bottom of the normal text area, with a line of about </w:t>
      </w:r>
      <w:r w:rsidR="6706FE3C">
        <w:rPr/>
        <w:t>5cm</w:t>
      </w:r>
      <w:r w:rsidR="6706FE3C">
        <w:rPr/>
        <w:t xml:space="preserve"> set </w:t>
      </w:r>
      <w:r w:rsidR="6706FE3C">
        <w:rPr/>
        <w:t>immediately</w:t>
      </w:r>
      <w:r w:rsidR="6706FE3C">
        <w:rPr/>
        <w:t xml:space="preserve"> above them</w:t>
      </w:r>
      <w:r w:rsidRPr="55A07641">
        <w:rPr>
          <w:rStyle w:val="FootnoteReference"/>
        </w:rPr>
        <w:footnoteReference w:id="12239"/>
      </w:r>
      <w:r w:rsidR="6706FE3C">
        <w:rPr/>
        <w:t>.</w:t>
      </w:r>
    </w:p>
    <w:p w:rsidR="55A07641" w:rsidP="55A07641" w:rsidRDefault="55A07641" w14:paraId="27CAE559" w14:textId="1CBE106D">
      <w:pPr>
        <w:pStyle w:val="p1a"/>
      </w:pPr>
    </w:p>
    <w:p w:rsidR="55A07641" w:rsidP="55A07641" w:rsidRDefault="55A07641" w14:paraId="6A1657BD" w14:textId="118F8F48">
      <w:pPr>
        <w:pStyle w:val="p1a"/>
      </w:pPr>
    </w:p>
    <w:p w:rsidR="55A07641" w:rsidP="55A07641" w:rsidRDefault="55A07641" w14:paraId="43E23420" w14:textId="6670359A">
      <w:pPr>
        <w:pStyle w:val="p1a"/>
      </w:pPr>
    </w:p>
    <w:p w:rsidR="6706FE3C" w:rsidP="55A07641" w:rsidRDefault="6706FE3C" w14:paraId="22070880" w14:textId="6B8170C0">
      <w:pPr>
        <w:pStyle w:val="p1a"/>
      </w:pPr>
      <w:r w:rsidR="6706FE3C">
        <w:rPr/>
        <w:t xml:space="preserve"> </w:t>
      </w:r>
    </w:p>
    <w:tbl>
      <w:tblPr>
        <w:tblW w:w="0" w:type="auto"/>
        <w:jc w:val="center"/>
        <w:tblLook w:val="0000" w:firstRow="0" w:lastRow="0" w:firstColumn="0" w:lastColumn="0" w:noHBand="0" w:noVBand="0"/>
      </w:tblPr>
      <w:tblGrid>
        <w:gridCol w:w="1664"/>
        <w:gridCol w:w="2444"/>
        <w:gridCol w:w="1724"/>
      </w:tblGrid>
      <w:tr w:rsidR="55A07641" w:rsidTr="55A07641" w14:paraId="057115F2">
        <w:trPr>
          <w:trHeight w:val="300"/>
        </w:trPr>
        <w:tc>
          <w:tcPr>
            <w:tcW w:w="1664" w:type="dxa"/>
            <w:tcBorders>
              <w:top w:val="single" w:color="000000" w:themeColor="text1" w:sz="12"/>
              <w:bottom w:val="single" w:color="000000" w:themeColor="text1" w:sz="6"/>
            </w:tcBorders>
            <w:tcMar/>
          </w:tcPr>
          <w:p w:rsidR="55A07641" w:rsidP="55A07641" w:rsidRDefault="55A07641" w14:paraId="0972D4EE">
            <w:pPr>
              <w:ind w:firstLine="0"/>
              <w:rPr>
                <w:sz w:val="18"/>
                <w:szCs w:val="18"/>
              </w:rPr>
            </w:pPr>
            <w:r w:rsidRPr="55A07641" w:rsidR="55A07641">
              <w:rPr>
                <w:sz w:val="18"/>
                <w:szCs w:val="18"/>
              </w:rPr>
              <w:t>Heading level</w:t>
            </w:r>
          </w:p>
        </w:tc>
        <w:tc>
          <w:tcPr>
            <w:tcW w:w="2444" w:type="dxa"/>
            <w:tcBorders>
              <w:top w:val="single" w:color="000000" w:themeColor="text1" w:sz="12"/>
              <w:bottom w:val="single" w:color="000000" w:themeColor="text1" w:sz="6"/>
            </w:tcBorders>
            <w:tcMar/>
          </w:tcPr>
          <w:p w:rsidR="55A07641" w:rsidP="55A07641" w:rsidRDefault="55A07641" w14:paraId="72F68388">
            <w:pPr>
              <w:ind w:firstLine="0"/>
              <w:rPr>
                <w:sz w:val="18"/>
                <w:szCs w:val="18"/>
              </w:rPr>
            </w:pPr>
            <w:r w:rsidRPr="55A07641" w:rsidR="55A07641">
              <w:rPr>
                <w:sz w:val="18"/>
                <w:szCs w:val="18"/>
              </w:rPr>
              <w:t>Example</w:t>
            </w:r>
          </w:p>
        </w:tc>
        <w:tc>
          <w:tcPr>
            <w:tcW w:w="1724" w:type="dxa"/>
            <w:tcBorders>
              <w:top w:val="single" w:color="000000" w:themeColor="text1" w:sz="12"/>
              <w:bottom w:val="single" w:color="000000" w:themeColor="text1" w:sz="6"/>
            </w:tcBorders>
            <w:tcMar/>
          </w:tcPr>
          <w:p w:rsidR="55A07641" w:rsidP="55A07641" w:rsidRDefault="55A07641" w14:paraId="006EA7E0">
            <w:pPr>
              <w:ind w:firstLine="0"/>
              <w:rPr>
                <w:sz w:val="18"/>
                <w:szCs w:val="18"/>
              </w:rPr>
            </w:pPr>
            <w:r w:rsidRPr="55A07641" w:rsidR="55A07641">
              <w:rPr>
                <w:sz w:val="18"/>
                <w:szCs w:val="18"/>
              </w:rPr>
              <w:t>Font size and style</w:t>
            </w:r>
          </w:p>
        </w:tc>
      </w:tr>
      <w:tr w:rsidR="55A07641" w:rsidTr="55A07641" w14:paraId="46B9C234">
        <w:trPr>
          <w:trHeight w:val="300"/>
        </w:trPr>
        <w:tc>
          <w:tcPr>
            <w:tcW w:w="1664" w:type="dxa"/>
            <w:tcMar/>
          </w:tcPr>
          <w:p w:rsidR="55A07641" w:rsidP="55A07641" w:rsidRDefault="55A07641" w14:paraId="73D3846F">
            <w:pPr>
              <w:ind w:firstLine="0"/>
              <w:rPr>
                <w:sz w:val="18"/>
                <w:szCs w:val="18"/>
              </w:rPr>
            </w:pPr>
            <w:r w:rsidRPr="55A07641" w:rsidR="55A07641">
              <w:rPr>
                <w:sz w:val="18"/>
                <w:szCs w:val="18"/>
              </w:rPr>
              <w:t>Title (centered)</w:t>
            </w:r>
          </w:p>
        </w:tc>
        <w:tc>
          <w:tcPr>
            <w:tcW w:w="2444" w:type="dxa"/>
            <w:tcMar/>
          </w:tcPr>
          <w:p w:rsidR="55A07641" w:rsidP="55A07641" w:rsidRDefault="55A07641" w14:paraId="04EAD83D">
            <w:pPr>
              <w:ind w:firstLine="0"/>
              <w:rPr>
                <w:sz w:val="18"/>
                <w:szCs w:val="18"/>
              </w:rPr>
            </w:pPr>
            <w:r w:rsidRPr="55A07641" w:rsidR="55A07641">
              <w:rPr>
                <w:b w:val="1"/>
                <w:bCs w:val="1"/>
                <w:sz w:val="25"/>
                <w:szCs w:val="25"/>
              </w:rPr>
              <w:t>Lecture Notes …</w:t>
            </w:r>
          </w:p>
        </w:tc>
        <w:tc>
          <w:tcPr>
            <w:tcW w:w="1724" w:type="dxa"/>
            <w:tcMar/>
          </w:tcPr>
          <w:p w:rsidR="55A07641" w:rsidP="55A07641" w:rsidRDefault="55A07641" w14:paraId="7F825E04">
            <w:pPr>
              <w:ind w:firstLine="0"/>
              <w:rPr>
                <w:sz w:val="18"/>
                <w:szCs w:val="18"/>
              </w:rPr>
            </w:pPr>
            <w:r w:rsidRPr="55A07641" w:rsidR="55A07641">
              <w:rPr>
                <w:sz w:val="18"/>
                <w:szCs w:val="18"/>
              </w:rPr>
              <w:t>14 point, bold</w:t>
            </w:r>
          </w:p>
        </w:tc>
      </w:tr>
      <w:tr w:rsidR="55A07641" w:rsidTr="55A07641" w14:paraId="3E9ED3D9">
        <w:trPr>
          <w:trHeight w:val="300"/>
        </w:trPr>
        <w:tc>
          <w:tcPr>
            <w:tcW w:w="1664" w:type="dxa"/>
            <w:tcMar/>
          </w:tcPr>
          <w:p w:rsidR="55A07641" w:rsidP="55A07641" w:rsidRDefault="55A07641" w14:paraId="24A88896">
            <w:pPr>
              <w:ind w:firstLine="0"/>
              <w:rPr>
                <w:sz w:val="18"/>
                <w:szCs w:val="18"/>
              </w:rPr>
            </w:pPr>
            <w:r w:rsidRPr="55A07641" w:rsidR="55A07641">
              <w:rPr>
                <w:sz w:val="18"/>
                <w:szCs w:val="18"/>
              </w:rPr>
              <w:t>1</w:t>
            </w:r>
            <w:r w:rsidRPr="55A07641" w:rsidR="55A07641">
              <w:rPr>
                <w:sz w:val="18"/>
                <w:szCs w:val="18"/>
                <w:vertAlign w:val="superscript"/>
              </w:rPr>
              <w:t>st</w:t>
            </w:r>
            <w:r w:rsidRPr="55A07641" w:rsidR="55A07641">
              <w:rPr>
                <w:sz w:val="18"/>
                <w:szCs w:val="18"/>
              </w:rPr>
              <w:t>-level heading</w:t>
            </w:r>
          </w:p>
        </w:tc>
        <w:tc>
          <w:tcPr>
            <w:tcW w:w="2444" w:type="dxa"/>
            <w:tcMar/>
          </w:tcPr>
          <w:p w:rsidR="55A07641" w:rsidP="55A07641" w:rsidRDefault="55A07641" w14:paraId="67AF7FA4">
            <w:pPr>
              <w:ind w:firstLine="0"/>
              <w:rPr>
                <w:sz w:val="18"/>
                <w:szCs w:val="18"/>
              </w:rPr>
            </w:pPr>
            <w:r w:rsidRPr="55A07641" w:rsidR="55A07641">
              <w:rPr>
                <w:b w:val="1"/>
                <w:bCs w:val="1"/>
                <w:sz w:val="21"/>
                <w:szCs w:val="21"/>
              </w:rPr>
              <w:t>1 Introduction</w:t>
            </w:r>
          </w:p>
        </w:tc>
        <w:tc>
          <w:tcPr>
            <w:tcW w:w="1724" w:type="dxa"/>
            <w:tcMar/>
          </w:tcPr>
          <w:p w:rsidR="55A07641" w:rsidP="55A07641" w:rsidRDefault="55A07641" w14:paraId="40E0EC5D">
            <w:pPr>
              <w:ind w:firstLine="0"/>
              <w:rPr>
                <w:sz w:val="18"/>
                <w:szCs w:val="18"/>
              </w:rPr>
            </w:pPr>
            <w:r w:rsidRPr="55A07641" w:rsidR="55A07641">
              <w:rPr>
                <w:sz w:val="18"/>
                <w:szCs w:val="18"/>
              </w:rPr>
              <w:t>12 point, bold</w:t>
            </w:r>
          </w:p>
        </w:tc>
      </w:tr>
      <w:tr w:rsidR="55A07641" w:rsidTr="55A07641" w14:paraId="79D2271F">
        <w:trPr>
          <w:trHeight w:val="300"/>
        </w:trPr>
        <w:tc>
          <w:tcPr>
            <w:tcW w:w="1664" w:type="dxa"/>
            <w:tcMar/>
          </w:tcPr>
          <w:p w:rsidR="55A07641" w:rsidP="55A07641" w:rsidRDefault="55A07641" w14:paraId="1BB3DCF8">
            <w:pPr>
              <w:ind w:firstLine="0"/>
              <w:rPr>
                <w:sz w:val="18"/>
                <w:szCs w:val="18"/>
              </w:rPr>
            </w:pPr>
            <w:r w:rsidRPr="55A07641" w:rsidR="55A07641">
              <w:rPr>
                <w:sz w:val="18"/>
                <w:szCs w:val="18"/>
              </w:rPr>
              <w:t>2</w:t>
            </w:r>
            <w:r w:rsidRPr="55A07641" w:rsidR="55A07641">
              <w:rPr>
                <w:sz w:val="18"/>
                <w:szCs w:val="18"/>
                <w:vertAlign w:val="superscript"/>
              </w:rPr>
              <w:t>nd</w:t>
            </w:r>
            <w:r w:rsidRPr="55A07641" w:rsidR="55A07641">
              <w:rPr>
                <w:sz w:val="18"/>
                <w:szCs w:val="18"/>
              </w:rPr>
              <w:t>-level heading</w:t>
            </w:r>
          </w:p>
        </w:tc>
        <w:tc>
          <w:tcPr>
            <w:tcW w:w="2444" w:type="dxa"/>
            <w:tcMar/>
          </w:tcPr>
          <w:p w:rsidR="55A07641" w:rsidP="55A07641" w:rsidRDefault="55A07641" w14:paraId="3D2D63E9">
            <w:pPr>
              <w:ind w:firstLine="0"/>
              <w:rPr>
                <w:sz w:val="18"/>
                <w:szCs w:val="18"/>
              </w:rPr>
            </w:pPr>
            <w:r w:rsidRPr="55A07641" w:rsidR="55A07641">
              <w:rPr>
                <w:b w:val="1"/>
                <w:bCs w:val="1"/>
                <w:sz w:val="18"/>
                <w:szCs w:val="18"/>
              </w:rPr>
              <w:t>2.1 Printing Area</w:t>
            </w:r>
          </w:p>
        </w:tc>
        <w:tc>
          <w:tcPr>
            <w:tcW w:w="1724" w:type="dxa"/>
            <w:tcMar/>
          </w:tcPr>
          <w:p w:rsidR="55A07641" w:rsidP="55A07641" w:rsidRDefault="55A07641" w14:paraId="769E4FB8">
            <w:pPr>
              <w:ind w:firstLine="0"/>
              <w:rPr>
                <w:sz w:val="18"/>
                <w:szCs w:val="18"/>
              </w:rPr>
            </w:pPr>
            <w:r w:rsidRPr="55A07641" w:rsidR="55A07641">
              <w:rPr>
                <w:sz w:val="18"/>
                <w:szCs w:val="18"/>
              </w:rPr>
              <w:t>10 point, bold</w:t>
            </w:r>
          </w:p>
        </w:tc>
      </w:tr>
      <w:tr w:rsidR="55A07641" w:rsidTr="55A07641" w14:paraId="393659BC">
        <w:trPr>
          <w:trHeight w:val="300"/>
        </w:trPr>
        <w:tc>
          <w:tcPr>
            <w:tcW w:w="1664" w:type="dxa"/>
            <w:tcMar/>
          </w:tcPr>
          <w:p w:rsidR="55A07641" w:rsidP="55A07641" w:rsidRDefault="55A07641" w14:paraId="384ED95F">
            <w:pPr>
              <w:ind w:firstLine="0"/>
              <w:rPr>
                <w:sz w:val="18"/>
                <w:szCs w:val="18"/>
              </w:rPr>
            </w:pPr>
            <w:r w:rsidRPr="55A07641" w:rsidR="55A07641">
              <w:rPr>
                <w:sz w:val="18"/>
                <w:szCs w:val="18"/>
              </w:rPr>
              <w:t>3</w:t>
            </w:r>
            <w:r w:rsidRPr="55A07641" w:rsidR="55A07641">
              <w:rPr>
                <w:sz w:val="18"/>
                <w:szCs w:val="18"/>
                <w:vertAlign w:val="superscript"/>
              </w:rPr>
              <w:t>rd</w:t>
            </w:r>
            <w:r w:rsidRPr="55A07641" w:rsidR="55A07641">
              <w:rPr>
                <w:sz w:val="18"/>
                <w:szCs w:val="18"/>
              </w:rPr>
              <w:t>-level heading</w:t>
            </w:r>
          </w:p>
        </w:tc>
        <w:tc>
          <w:tcPr>
            <w:tcW w:w="2444" w:type="dxa"/>
            <w:tcMar/>
          </w:tcPr>
          <w:p w:rsidR="55A07641" w:rsidP="55A07641" w:rsidRDefault="55A07641" w14:paraId="6109A4F7">
            <w:pPr>
              <w:ind w:firstLine="0"/>
              <w:rPr>
                <w:sz w:val="18"/>
                <w:szCs w:val="18"/>
              </w:rPr>
            </w:pPr>
            <w:r w:rsidRPr="55A07641" w:rsidR="55A07641">
              <w:rPr>
                <w:b w:val="1"/>
                <w:bCs w:val="1"/>
                <w:sz w:val="18"/>
                <w:szCs w:val="18"/>
              </w:rPr>
              <w:t>Headings.</w:t>
            </w:r>
            <w:r w:rsidRPr="55A07641" w:rsidR="55A07641">
              <w:rPr>
                <w:sz w:val="18"/>
                <w:szCs w:val="18"/>
              </w:rPr>
              <w:t xml:space="preserve">  Text follows …</w:t>
            </w:r>
          </w:p>
        </w:tc>
        <w:tc>
          <w:tcPr>
            <w:tcW w:w="1724" w:type="dxa"/>
            <w:tcMar/>
          </w:tcPr>
          <w:p w:rsidR="55A07641" w:rsidP="55A07641" w:rsidRDefault="55A07641" w14:paraId="3EB4E6A1">
            <w:pPr>
              <w:ind w:firstLine="0"/>
              <w:rPr>
                <w:sz w:val="18"/>
                <w:szCs w:val="18"/>
              </w:rPr>
            </w:pPr>
            <w:r w:rsidRPr="55A07641" w:rsidR="55A07641">
              <w:rPr>
                <w:sz w:val="18"/>
                <w:szCs w:val="18"/>
              </w:rPr>
              <w:t>10 point, bold</w:t>
            </w:r>
          </w:p>
        </w:tc>
      </w:tr>
      <w:tr w:rsidR="55A07641" w:rsidTr="55A07641" w14:paraId="09CACBD1">
        <w:trPr>
          <w:trHeight w:val="300"/>
        </w:trPr>
        <w:tc>
          <w:tcPr>
            <w:tcW w:w="1664" w:type="dxa"/>
            <w:tcBorders>
              <w:bottom w:val="single" w:color="000000" w:themeColor="text1" w:sz="12"/>
            </w:tcBorders>
            <w:tcMar/>
          </w:tcPr>
          <w:p w:rsidR="55A07641" w:rsidP="55A07641" w:rsidRDefault="55A07641" w14:paraId="36042DE6">
            <w:pPr>
              <w:ind w:firstLine="0"/>
              <w:rPr>
                <w:sz w:val="18"/>
                <w:szCs w:val="18"/>
              </w:rPr>
            </w:pPr>
            <w:r w:rsidRPr="55A07641" w:rsidR="55A07641">
              <w:rPr>
                <w:sz w:val="18"/>
                <w:szCs w:val="18"/>
              </w:rPr>
              <w:t>4</w:t>
            </w:r>
            <w:r w:rsidRPr="55A07641" w:rsidR="55A07641">
              <w:rPr>
                <w:sz w:val="18"/>
                <w:szCs w:val="18"/>
                <w:vertAlign w:val="superscript"/>
              </w:rPr>
              <w:t>th</w:t>
            </w:r>
            <w:r w:rsidRPr="55A07641" w:rsidR="55A07641">
              <w:rPr>
                <w:sz w:val="18"/>
                <w:szCs w:val="18"/>
              </w:rPr>
              <w:t>-level heading</w:t>
            </w:r>
          </w:p>
        </w:tc>
        <w:tc>
          <w:tcPr>
            <w:tcW w:w="2444" w:type="dxa"/>
            <w:tcBorders>
              <w:bottom w:val="single" w:color="000000" w:themeColor="text1" w:sz="12"/>
            </w:tcBorders>
            <w:tcMar/>
          </w:tcPr>
          <w:p w:rsidR="55A07641" w:rsidP="55A07641" w:rsidRDefault="55A07641" w14:paraId="15CB4AA1">
            <w:pPr>
              <w:ind w:firstLine="0"/>
              <w:rPr>
                <w:sz w:val="18"/>
                <w:szCs w:val="18"/>
              </w:rPr>
            </w:pPr>
            <w:r w:rsidRPr="55A07641" w:rsidR="55A07641">
              <w:rPr>
                <w:i w:val="1"/>
                <w:iCs w:val="1"/>
                <w:sz w:val="18"/>
                <w:szCs w:val="18"/>
              </w:rPr>
              <w:t>Remark.</w:t>
            </w:r>
            <w:r w:rsidRPr="55A07641" w:rsidR="55A07641">
              <w:rPr>
                <w:sz w:val="18"/>
                <w:szCs w:val="18"/>
              </w:rPr>
              <w:t xml:space="preserve">  Text follows …</w:t>
            </w:r>
          </w:p>
        </w:tc>
        <w:tc>
          <w:tcPr>
            <w:tcW w:w="1724" w:type="dxa"/>
            <w:tcBorders>
              <w:bottom w:val="single" w:color="000000" w:themeColor="text1" w:sz="12"/>
            </w:tcBorders>
            <w:tcMar/>
          </w:tcPr>
          <w:p w:rsidR="55A07641" w:rsidP="55A07641" w:rsidRDefault="55A07641" w14:paraId="310F4557">
            <w:pPr>
              <w:ind w:firstLine="0"/>
              <w:rPr>
                <w:sz w:val="18"/>
                <w:szCs w:val="18"/>
              </w:rPr>
            </w:pPr>
            <w:r w:rsidRPr="55A07641" w:rsidR="55A07641">
              <w:rPr>
                <w:sz w:val="18"/>
                <w:szCs w:val="18"/>
              </w:rPr>
              <w:t>10 point, italic</w:t>
            </w:r>
          </w:p>
        </w:tc>
      </w:tr>
    </w:tbl>
    <w:p w:rsidR="55A07641" w:rsidP="55A07641" w:rsidRDefault="55A07641" w14:paraId="1BEB0B13" w14:textId="58ED7B3B">
      <w:pPr>
        <w:pStyle w:val="p1a"/>
      </w:pPr>
    </w:p>
    <w:p w:rsidR="531B73BD" w:rsidP="55A07641" w:rsidRDefault="531B73BD" w14:paraId="54910E74" w14:textId="28B4AE3F">
      <w:pPr>
        <w:pStyle w:val="p1a"/>
        <w:rPr>
          <w:sz w:val="16"/>
          <w:szCs w:val="16"/>
          <w:lang w:val="en-US"/>
        </w:rPr>
      </w:pPr>
      <w:r w:rsidRPr="55A07641" w:rsidR="531B73BD">
        <w:rPr>
          <w:b w:val="1"/>
          <w:bCs w:val="1"/>
          <w:lang w:val="en-GB"/>
        </w:rPr>
        <w:t xml:space="preserve">Table </w:t>
      </w:r>
      <w:r w:rsidRPr="55A07641">
        <w:rPr>
          <w:b w:val="1"/>
          <w:bCs w:val="1"/>
        </w:rPr>
        <w:fldChar w:fldCharType="begin"/>
      </w:r>
      <w:r w:rsidRPr="55A07641">
        <w:rPr>
          <w:b w:val="1"/>
          <w:bCs w:val="1"/>
          <w:lang w:val="en-GB"/>
        </w:rPr>
        <w:instrText xml:space="preserve"> SEQ Table \n </w:instrText>
      </w:r>
      <w:r w:rsidRPr="55A07641">
        <w:rPr>
          <w:b w:val="1"/>
          <w:bCs w:val="1"/>
        </w:rPr>
        <w:fldChar w:fldCharType="separate"/>
      </w:r>
      <w:r w:rsidRPr="55A07641" w:rsidR="531B73BD">
        <w:rPr>
          <w:b w:val="1"/>
          <w:bCs w:val="1"/>
          <w:noProof/>
          <w:lang w:val="en-GB"/>
        </w:rPr>
        <w:t>1</w:t>
      </w:r>
      <w:r w:rsidRPr="55A07641">
        <w:rPr>
          <w:b w:val="1"/>
          <w:bCs w:val="1"/>
        </w:rPr>
        <w:fldChar w:fldCharType="end"/>
      </w:r>
      <w:r w:rsidRPr="55A07641" w:rsidR="531B73BD">
        <w:rPr>
          <w:b w:val="1"/>
          <w:bCs w:val="1"/>
          <w:lang w:val="en-GB"/>
        </w:rPr>
        <w:t>.</w:t>
      </w:r>
      <w:r w:rsidRPr="55A07641" w:rsidR="531B73BD">
        <w:rPr>
          <w:lang w:val="en-GB"/>
        </w:rPr>
        <w:t xml:space="preserve">  </w:t>
      </w:r>
      <w:r w:rsidRPr="55A07641" w:rsidR="531B73BD">
        <w:rPr>
          <w:lang w:val="en-US"/>
        </w:rPr>
        <w:t xml:space="preserve">Font sizes of headings. Table captions should always be positioned </w:t>
      </w:r>
      <w:r w:rsidRPr="55A07641" w:rsidR="531B73BD">
        <w:rPr>
          <w:i w:val="1"/>
          <w:iCs w:val="1"/>
          <w:lang w:val="en-US"/>
        </w:rPr>
        <w:t>above</w:t>
      </w:r>
      <w:r w:rsidRPr="55A07641" w:rsidR="531B73BD">
        <w:rPr>
          <w:lang w:val="en-US"/>
        </w:rPr>
        <w:t xml:space="preserve"> the tables.</w:t>
      </w:r>
    </w:p>
    <w:p w:rsidR="531B73BD" w:rsidP="55A07641" w:rsidRDefault="531B73BD" w14:paraId="0DB00B29" w14:textId="0D1FD66D">
      <w:pPr>
        <w:pStyle w:val="heading30"/>
        <w:rPr>
          <w:b w:val="0"/>
          <w:bCs w:val="0"/>
        </w:rPr>
      </w:pPr>
      <w:r w:rsidR="531B73BD">
        <w:rPr/>
        <w:t>Lemmas, Propositions, and Theorems.</w:t>
      </w:r>
      <w:r w:rsidRPr="55A07641" w:rsidR="531B73BD">
        <w:rPr>
          <w:sz w:val="18"/>
          <w:szCs w:val="18"/>
        </w:rPr>
        <w:t xml:space="preserve"> </w:t>
      </w:r>
      <w:r w:rsidR="531B73BD">
        <w:rPr>
          <w:b w:val="0"/>
          <w:bCs w:val="0"/>
        </w:rPr>
        <w:t>The numbers accorded to lemmas, propositions, and theorems, etc. should appear in consecutive order, starting with Lemma 1, and not, for example, with Lemma 11.</w:t>
      </w:r>
    </w:p>
    <w:p w:rsidR="55A07641" w:rsidP="55A07641" w:rsidRDefault="55A07641" w14:paraId="3AF75E37" w14:textId="517013CC">
      <w:pPr>
        <w:pStyle w:val="p1a"/>
      </w:pPr>
    </w:p>
    <w:p w:rsidR="55A07641" w:rsidP="55A07641" w:rsidRDefault="55A07641" w14:paraId="0A839C6F" w14:textId="735136F3">
      <w:pPr>
        <w:pStyle w:val="heading20"/>
      </w:pPr>
    </w:p>
    <w:p w:rsidR="6706FE3C" w:rsidP="55A07641" w:rsidRDefault="6706FE3C" w14:paraId="4688DC1B">
      <w:pPr>
        <w:pStyle w:val="heading20"/>
      </w:pPr>
      <w:r w:rsidR="6706FE3C">
        <w:rPr/>
        <w:t>2.4   Program Code</w:t>
      </w:r>
    </w:p>
    <w:p w:rsidR="6706FE3C" w:rsidP="55A07641" w:rsidRDefault="6706FE3C" w14:paraId="0FFBC0F2">
      <w:pPr>
        <w:pStyle w:val="p1a"/>
      </w:pPr>
      <w:r w:rsidR="6706FE3C">
        <w:rPr/>
        <w:t>Program listings or program commands in the text are normally set in typewriter font, e.g., CMTT10 or Courier.  All program code should be contained in figures. Code should not be inlined within the text of the document itself.</w:t>
      </w:r>
    </w:p>
    <w:p w:rsidR="6706FE3C" w:rsidP="55A07641" w:rsidRDefault="6706FE3C" w14:paraId="45B0CB66">
      <w:pPr>
        <w:pStyle w:val="tabletitle"/>
        <w:rPr>
          <w:lang w:val="en-GB"/>
        </w:rPr>
      </w:pPr>
      <w:r w:rsidRPr="55A07641" w:rsidR="6706FE3C">
        <w:rPr>
          <w:lang w:val="en-GB"/>
        </w:rPr>
        <w:t>Example of a Co</w:t>
      </w:r>
      <w:r w:rsidR="6706FE3C">
        <w:rPr/>
        <w:t>mputer Program from Jensen K., Wirth N. (1991) Pascal user manual and report. Springer, New York</w:t>
      </w:r>
    </w:p>
    <w:p w:rsidR="6706FE3C" w:rsidP="55A07641" w:rsidRDefault="6706FE3C" w14:paraId="3DC5652C">
      <w:pPr>
        <w:pStyle w:val="programcode"/>
      </w:pPr>
      <w:r w:rsidR="6706FE3C">
        <w:rPr/>
        <w:t>program Inflation (Output)</w:t>
      </w:r>
      <w:r>
        <w:br/>
      </w:r>
      <w:r w:rsidR="6706FE3C">
        <w:rPr/>
        <w:t xml:space="preserve">  {Assuming annual inflation rates of 7%, 8%, and</w:t>
      </w:r>
      <w:r>
        <w:br/>
      </w:r>
      <w:r w:rsidR="6706FE3C">
        <w:rPr/>
        <w:t xml:space="preserve">  10%,...   years};</w:t>
      </w:r>
      <w:r>
        <w:br/>
      </w:r>
      <w:r w:rsidR="6706FE3C">
        <w:rPr/>
        <w:t xml:space="preserve">  const  MaxYears = 10;</w:t>
      </w:r>
      <w:r>
        <w:br/>
      </w:r>
      <w:r w:rsidR="6706FE3C">
        <w:rPr/>
        <w:t xml:space="preserve">  var    Year: 0..MaxYears;</w:t>
      </w:r>
      <w:r>
        <w:br/>
      </w:r>
      <w:r w:rsidR="6706FE3C">
        <w:rPr/>
        <w:t xml:space="preserve">         Factor1, Factor2, Factor3: Real;</w:t>
      </w:r>
      <w:r>
        <w:br/>
      </w:r>
      <w:r w:rsidR="6706FE3C">
        <w:rPr/>
        <w:t xml:space="preserve">  begin</w:t>
      </w:r>
      <w:r>
        <w:br/>
      </w:r>
      <w:r w:rsidR="6706FE3C">
        <w:rPr/>
        <w:t xml:space="preserve">    Year := 0;</w:t>
      </w:r>
      <w:r>
        <w:br/>
      </w:r>
      <w:r w:rsidR="6706FE3C">
        <w:rPr/>
        <w:t xml:space="preserve">    Factor1 := 1.0; Factor2 := 1.0; Factor3 := 1.0;</w:t>
      </w:r>
      <w:r>
        <w:br/>
      </w:r>
      <w:r w:rsidR="6706FE3C">
        <w:rPr/>
        <w:t xml:space="preserve">    WriteLn('Year 7% 8% 10%'); WriteLn;</w:t>
      </w:r>
      <w:r>
        <w:br/>
      </w:r>
      <w:r w:rsidR="6706FE3C">
        <w:rPr/>
        <w:t xml:space="preserve">    repeat</w:t>
      </w:r>
      <w:r>
        <w:br/>
      </w:r>
      <w:r w:rsidR="6706FE3C">
        <w:rPr/>
        <w:t xml:space="preserve">      Year := Year + 1;</w:t>
      </w:r>
      <w:r>
        <w:br/>
      </w:r>
      <w:r w:rsidR="6706FE3C">
        <w:rPr/>
        <w:t xml:space="preserve">      Factor1 := Factor1 * 1.07;</w:t>
      </w:r>
      <w:r>
        <w:br/>
      </w:r>
      <w:r w:rsidR="6706FE3C">
        <w:rPr/>
        <w:t xml:space="preserve">      Factor2 := Factor2 * 1.08;</w:t>
      </w:r>
      <w:r>
        <w:br/>
      </w:r>
      <w:r w:rsidR="6706FE3C">
        <w:rPr/>
        <w:t xml:space="preserve">      Factor3 := Factor3 * 1.10;</w:t>
      </w:r>
      <w:r>
        <w:br/>
      </w:r>
      <w:r w:rsidR="6706FE3C">
        <w:rPr/>
        <w:t xml:space="preserve">      WriteLn(Year:5,Factor1:7:3,Factor2:7:3,</w:t>
      </w:r>
      <w:r>
        <w:br/>
      </w:r>
      <w:r w:rsidR="6706FE3C">
        <w:rPr/>
        <w:t xml:space="preserve">        Factor3:7:3)</w:t>
      </w:r>
      <w:r>
        <w:br/>
      </w:r>
      <w:r w:rsidR="6706FE3C">
        <w:rPr/>
        <w:t xml:space="preserve">    until Year = MaxYears</w:t>
      </w:r>
      <w:r>
        <w:br/>
      </w:r>
      <w:r w:rsidR="6706FE3C">
        <w:rPr/>
        <w:t>end.</w:t>
      </w:r>
    </w:p>
    <w:p w:rsidR="55A07641" w:rsidP="55A07641" w:rsidRDefault="55A07641" w14:paraId="42BE6C9F" w14:textId="22C93668">
      <w:pPr>
        <w:pStyle w:val="p1a"/>
      </w:pPr>
    </w:p>
    <w:p w:rsidR="7A8F7B93" w:rsidP="55A07641" w:rsidRDefault="7A8F7B93" w14:paraId="6C7ACC16">
      <w:pPr>
        <w:pStyle w:val="heading30"/>
        <w:rPr>
          <w:b w:val="0"/>
          <w:bCs w:val="0"/>
        </w:rPr>
      </w:pPr>
      <w:r w:rsidR="7A8F7B93">
        <w:rPr/>
        <w:t>Headings.</w:t>
      </w:r>
      <w:r w:rsidRPr="55A07641" w:rsidR="7A8F7B93">
        <w:rPr>
          <w:sz w:val="18"/>
          <w:szCs w:val="18"/>
        </w:rPr>
        <w:t xml:space="preserve"> </w:t>
      </w:r>
      <w:r w:rsidR="7A8F7B93">
        <w:rPr>
          <w:b w:val="0"/>
          <w:bCs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rsidR="7A8F7B93" w:rsidRDefault="7A8F7B93" w14:paraId="1F5E1A9F" w14:textId="75ADE486">
      <w:r w:rsidR="7A8F7B93">
        <w:rPr/>
        <w:t>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w:t>
      </w:r>
    </w:p>
    <w:p w:rsidR="55A07641" w:rsidP="55A07641" w:rsidRDefault="55A07641" w14:paraId="30151C3E" w14:textId="3DE52065">
      <w:pPr>
        <w:pStyle w:val="reference"/>
      </w:pPr>
    </w:p>
    <w:sectPr w:rsidR="009B1D59">
      <w:pgSz w:w="11907" w:h="16840" w:orient="portrait"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4CF8" w:rsidRDefault="00FE4CF8" w14:paraId="27E5DB49" w14:textId="77777777">
      <w:r>
        <w:separator/>
      </w:r>
    </w:p>
  </w:endnote>
  <w:endnote w:type="continuationSeparator" w:id="0">
    <w:p w:rsidR="00FE4CF8" w:rsidRDefault="00FE4CF8" w14:paraId="6433C3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4CF8" w:rsidRDefault="00FE4CF8" w14:paraId="2FD35ABD" w14:textId="77777777">
      <w:r>
        <w:separator/>
      </w:r>
    </w:p>
  </w:footnote>
  <w:footnote w:type="continuationSeparator" w:id="0">
    <w:p w:rsidR="00FE4CF8" w:rsidRDefault="00FE4CF8" w14:paraId="4E129EF0" w14:textId="77777777">
      <w:r>
        <w:continuationSeparator/>
      </w:r>
    </w:p>
  </w:footnote>
  <w:footnote w:id="12239">
    <w:p w:rsidR="55A07641" w:rsidP="55A07641" w:rsidRDefault="55A07641" w14:paraId="7C6A7599">
      <w:pPr>
        <w:pStyle w:val="FootnoteText"/>
      </w:pPr>
      <w:r w:rsidRPr="55A07641">
        <w:rPr>
          <w:rStyle w:val="FootnoteReference"/>
        </w:rPr>
        <w:footnoteRef/>
      </w:r>
      <w:r w:rsidR="55A07641">
        <w:rPr/>
        <w:t xml:space="preserve"> The footnote numeral is set flush left and the text follows with the usual word spacing.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612248651">
    <w:abstractNumId w:val="0"/>
  </w:num>
  <w:num w:numId="2" w16cid:durableId="1915696214">
    <w:abstractNumId w:val="2"/>
  </w:num>
  <w:num w:numId="3" w16cid:durableId="39833188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65C6D"/>
    <w:rsid w:val="00185A56"/>
    <w:rsid w:val="001D3036"/>
    <w:rsid w:val="001E2B8E"/>
    <w:rsid w:val="001F3556"/>
    <w:rsid w:val="001F4247"/>
    <w:rsid w:val="00203798"/>
    <w:rsid w:val="00252BAB"/>
    <w:rsid w:val="002A3EE9"/>
    <w:rsid w:val="00371779"/>
    <w:rsid w:val="003C5FA0"/>
    <w:rsid w:val="003D3C40"/>
    <w:rsid w:val="003F3EBE"/>
    <w:rsid w:val="004BDB53"/>
    <w:rsid w:val="004E040A"/>
    <w:rsid w:val="00586CFF"/>
    <w:rsid w:val="006225EA"/>
    <w:rsid w:val="00652234"/>
    <w:rsid w:val="00657488"/>
    <w:rsid w:val="00663895"/>
    <w:rsid w:val="0067477F"/>
    <w:rsid w:val="006A1BD8"/>
    <w:rsid w:val="007131A7"/>
    <w:rsid w:val="007309D0"/>
    <w:rsid w:val="007B61CB"/>
    <w:rsid w:val="007F1223"/>
    <w:rsid w:val="0088639B"/>
    <w:rsid w:val="008A0799"/>
    <w:rsid w:val="00914605"/>
    <w:rsid w:val="009942DC"/>
    <w:rsid w:val="009970E3"/>
    <w:rsid w:val="009B1D59"/>
    <w:rsid w:val="009B26F3"/>
    <w:rsid w:val="009B5E2A"/>
    <w:rsid w:val="009F4136"/>
    <w:rsid w:val="00A02F42"/>
    <w:rsid w:val="00A61B46"/>
    <w:rsid w:val="00A8258F"/>
    <w:rsid w:val="00A82AC2"/>
    <w:rsid w:val="00B069EE"/>
    <w:rsid w:val="00BD4ADC"/>
    <w:rsid w:val="00BE38D8"/>
    <w:rsid w:val="00C21DCE"/>
    <w:rsid w:val="00C951AE"/>
    <w:rsid w:val="00CF0521"/>
    <w:rsid w:val="00D15D54"/>
    <w:rsid w:val="00D24935"/>
    <w:rsid w:val="00D25733"/>
    <w:rsid w:val="00D46E59"/>
    <w:rsid w:val="00DC2926"/>
    <w:rsid w:val="00DF1FF8"/>
    <w:rsid w:val="00E04A1F"/>
    <w:rsid w:val="00E3194C"/>
    <w:rsid w:val="00E3380D"/>
    <w:rsid w:val="00EA1D86"/>
    <w:rsid w:val="00EA3C57"/>
    <w:rsid w:val="00F35037"/>
    <w:rsid w:val="00F709E8"/>
    <w:rsid w:val="00FE4CF8"/>
    <w:rsid w:val="01D8F94D"/>
    <w:rsid w:val="0272D912"/>
    <w:rsid w:val="02CB3654"/>
    <w:rsid w:val="044A7A78"/>
    <w:rsid w:val="04CB9F7E"/>
    <w:rsid w:val="05FE0489"/>
    <w:rsid w:val="090BC328"/>
    <w:rsid w:val="0A563D8D"/>
    <w:rsid w:val="0A6A7AE6"/>
    <w:rsid w:val="0CB761AF"/>
    <w:rsid w:val="0E249665"/>
    <w:rsid w:val="0E87933B"/>
    <w:rsid w:val="0E9A8B02"/>
    <w:rsid w:val="0F01ABEE"/>
    <w:rsid w:val="0F62162B"/>
    <w:rsid w:val="104F36A7"/>
    <w:rsid w:val="10D57077"/>
    <w:rsid w:val="1125C74A"/>
    <w:rsid w:val="163228EF"/>
    <w:rsid w:val="16B2E112"/>
    <w:rsid w:val="1756C6BC"/>
    <w:rsid w:val="17A0473C"/>
    <w:rsid w:val="17AFF6BC"/>
    <w:rsid w:val="1B911F05"/>
    <w:rsid w:val="1C9029EA"/>
    <w:rsid w:val="1CB867C1"/>
    <w:rsid w:val="1D42A8E7"/>
    <w:rsid w:val="1D76724F"/>
    <w:rsid w:val="1EB4A4E6"/>
    <w:rsid w:val="1F70FC88"/>
    <w:rsid w:val="1F75C1E5"/>
    <w:rsid w:val="1FF00883"/>
    <w:rsid w:val="21CA7ACA"/>
    <w:rsid w:val="252F88DB"/>
    <w:rsid w:val="25776D31"/>
    <w:rsid w:val="258A5A0B"/>
    <w:rsid w:val="25E7931F"/>
    <w:rsid w:val="279E064C"/>
    <w:rsid w:val="28BE2F49"/>
    <w:rsid w:val="29CF4237"/>
    <w:rsid w:val="2C3757CB"/>
    <w:rsid w:val="2EB189BF"/>
    <w:rsid w:val="2EC45B69"/>
    <w:rsid w:val="31D0B0C1"/>
    <w:rsid w:val="31E24EB5"/>
    <w:rsid w:val="3254596D"/>
    <w:rsid w:val="32F18012"/>
    <w:rsid w:val="33330BEE"/>
    <w:rsid w:val="33F029CE"/>
    <w:rsid w:val="35202CDC"/>
    <w:rsid w:val="37259F14"/>
    <w:rsid w:val="37E9B21F"/>
    <w:rsid w:val="381BDBF5"/>
    <w:rsid w:val="39ADE9BC"/>
    <w:rsid w:val="3A5F6B52"/>
    <w:rsid w:val="3A7E339F"/>
    <w:rsid w:val="40950391"/>
    <w:rsid w:val="40C911BE"/>
    <w:rsid w:val="431A4BA2"/>
    <w:rsid w:val="4389FF46"/>
    <w:rsid w:val="439757AF"/>
    <w:rsid w:val="452E910B"/>
    <w:rsid w:val="462B8922"/>
    <w:rsid w:val="4638DB0B"/>
    <w:rsid w:val="47B0A859"/>
    <w:rsid w:val="47E0E688"/>
    <w:rsid w:val="486110AE"/>
    <w:rsid w:val="4BC7443C"/>
    <w:rsid w:val="4BEEA6C0"/>
    <w:rsid w:val="4E547326"/>
    <w:rsid w:val="4ED174EA"/>
    <w:rsid w:val="4F6FB990"/>
    <w:rsid w:val="4FA72D72"/>
    <w:rsid w:val="50239AD5"/>
    <w:rsid w:val="51BD3FBA"/>
    <w:rsid w:val="524C0D3D"/>
    <w:rsid w:val="52A75A52"/>
    <w:rsid w:val="52FBDD9A"/>
    <w:rsid w:val="53056E78"/>
    <w:rsid w:val="53070BF0"/>
    <w:rsid w:val="531B73BD"/>
    <w:rsid w:val="539F6938"/>
    <w:rsid w:val="557FDFA9"/>
    <w:rsid w:val="55A07641"/>
    <w:rsid w:val="55CC725B"/>
    <w:rsid w:val="55DA8B4D"/>
    <w:rsid w:val="56ED0D05"/>
    <w:rsid w:val="570C8699"/>
    <w:rsid w:val="57F9FB92"/>
    <w:rsid w:val="58475262"/>
    <w:rsid w:val="5B6E3B02"/>
    <w:rsid w:val="5E837EF6"/>
    <w:rsid w:val="5ED54AEE"/>
    <w:rsid w:val="62884579"/>
    <w:rsid w:val="6426FA45"/>
    <w:rsid w:val="66B0EDA9"/>
    <w:rsid w:val="66ECEBC9"/>
    <w:rsid w:val="6706FE3C"/>
    <w:rsid w:val="6728DC6C"/>
    <w:rsid w:val="67FAB543"/>
    <w:rsid w:val="6912E0F7"/>
    <w:rsid w:val="69BC5904"/>
    <w:rsid w:val="6D007625"/>
    <w:rsid w:val="6F550AED"/>
    <w:rsid w:val="7066E569"/>
    <w:rsid w:val="722E2F32"/>
    <w:rsid w:val="727D0B79"/>
    <w:rsid w:val="731F7A30"/>
    <w:rsid w:val="7402EA5B"/>
    <w:rsid w:val="740A9560"/>
    <w:rsid w:val="74C33C2C"/>
    <w:rsid w:val="75A1DD8F"/>
    <w:rsid w:val="765E7005"/>
    <w:rsid w:val="7884C428"/>
    <w:rsid w:val="78F70891"/>
    <w:rsid w:val="7A8F7B93"/>
    <w:rsid w:val="7B4AFB33"/>
    <w:rsid w:val="7CCDB189"/>
    <w:rsid w:val="7DDCC104"/>
    <w:rsid w:val="7F3B38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47D937E"/>
  <w15:chartTrackingRefBased/>
  <w15:docId w15:val="{3F651B43-76B2-4C8C-80FE-D0FF9D59C2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www.informatik.uni-trier.de/~ley/db/journals/lncs.html"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caaba19066fc4e52"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Butler, Will</lastModifiedBy>
  <revision>6</revision>
  <lastPrinted>2006-03-24T15:58:00.0000000Z</lastPrinted>
  <dcterms:created xsi:type="dcterms:W3CDTF">2023-09-29T22:53:00.0000000Z</dcterms:created>
  <dcterms:modified xsi:type="dcterms:W3CDTF">2023-10-06T01:15:25.0391462Z</dcterms:modified>
</coreProperties>
</file>