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A234E"/>
          <w:sz w:val="44"/>
        </w:rPr>
        <w:t>LLM Context Compression — Hybrid Utility Scoring</w:t>
        <w:br/>
        <w:t>Experiment Report &amp; Comparison</w:t>
      </w:r>
    </w:p>
    <w:p>
      <w:pPr>
        <w:spacing w:after="40"/>
        <w:jc w:val="center"/>
      </w:pPr>
      <w:r>
        <w:rPr>
          <w:rFonts w:ascii="Calibri" w:hAnsi="Calibri"/>
          <w:i/>
          <w:color w:val="0D7C8F"/>
          <w:sz w:val="26"/>
        </w:rPr>
        <w:t>Semantic + Lexical Hybrid vs. Lexical-Only Baseline  —  Algorithms Project</w:t>
      </w:r>
    </w:p>
    <w:p>
      <w:pPr>
        <w:spacing w:after="320"/>
        <w:jc w:val="center"/>
      </w:pPr>
      <w:r>
        <w:rPr>
          <w:color w:val="2E3A59"/>
        </w:rPr>
        <w:t>March 2026</w:t>
      </w:r>
    </w:p>
    <w:p>
      <w:pPr>
        <w:pBdr>
          <w:bottom w:val="single" w:sz="4" w:space="1" w:color="0D7C8F"/>
        </w:pBdr>
        <w:spacing w:after="160"/>
      </w:pPr>
    </w:p>
    <w:p>
      <w:pPr>
        <w:pStyle w:val="Heading1"/>
        <w:spacing w:before="280" w:after="80"/>
      </w:pPr>
      <w:r>
        <w:rPr>
          <w:color w:val="1A234E"/>
        </w:rPr>
        <w:t>Abstract</w:t>
      </w:r>
    </w:p>
    <w:p>
      <w:pPr>
        <w:spacing w:after="120"/>
      </w:pPr>
      <w:r>
        <w:rPr>
          <w:b w:val="0"/>
          <w:i w:val="0"/>
          <w:sz w:val="22"/>
        </w:rPr>
        <w:t>This report extends the lexical-only knapsack context-compression study by introducing a hybrid utility function that combines semantic and lexical relevance scores. Each text chunk's utility is computed as 0.7 × semantic_score + 0.3 × lexical_score, where semantic scores are derived from the all-MiniLM-L6-v2 sentence-transformer model. The same three algorithms — Exact-DP, Greedy-Ratio, and Greedy-Refine — are evaluated on the same 100 merged HotpotQA instances, enabling a direct apples-to-apples comparison. Hybrid scoring meaningfully improved exact support coverage (+6–7 percentage points) while leaving support recall nearly unchanged. Algorithm runtime ordering was preserved, though Greedy-Refine's local-search overhead grew noticeably larger under the richer utility landscape.</w:t>
      </w:r>
    </w:p>
    <w:p>
      <w:pPr>
        <w:pBdr>
          <w:bottom w:val="single" w:sz="4" w:space="1" w:color="0D7C8F"/>
        </w:pBdr>
        <w:spacing w:after="160"/>
      </w:pPr>
    </w:p>
    <w:p>
      <w:pPr>
        <w:pStyle w:val="Heading1"/>
        <w:spacing w:before="280" w:after="80"/>
      </w:pPr>
      <w:r>
        <w:rPr>
          <w:color w:val="1A234E"/>
        </w:rPr>
        <w:t>1  Introduction and Motivation</w:t>
      </w:r>
    </w:p>
    <w:p>
      <w:pPr>
        <w:spacing w:after="120"/>
      </w:pPr>
      <w:r>
        <w:rPr>
          <w:b w:val="0"/>
          <w:i w:val="0"/>
          <w:sz w:val="22"/>
        </w:rPr>
        <w:t>The lexical baseline experiment established that a simple greedy-ratio algorithm can match the quality of exact dynamic programming at a fraction of the runtime cost. However, lexical overlap is a limited proxy for relevance: a sentence that paraphrases the query exactly or that contains the answer without sharing many surface tokens will be undervalued by pure TF-IDF-style scoring.</w:t>
      </w:r>
    </w:p>
    <w:p>
      <w:pPr>
        <w:spacing w:after="120"/>
      </w:pPr>
      <w:r>
        <w:rPr>
          <w:b w:val="0"/>
          <w:i w:val="0"/>
          <w:sz w:val="22"/>
        </w:rPr>
        <w:t>This motivated a hybrid scoring approach. Semantic similarity — measured via cosine distance in the embedding space of a pre-trained sentence transformer — captures meaning-level relevance that lexical methods miss. By blending the two signals (70% semantic, 30% lexical), we aim to produce utility scores that better reflect a chunk's genuine value for answering the target question, while preserving the tractability of the knapsack formulation.</w:t>
      </w:r>
    </w:p>
    <w:p>
      <w:pPr>
        <w:pStyle w:val="Heading2"/>
        <w:spacing w:before="160" w:after="80"/>
      </w:pPr>
      <w:r>
        <w:rPr>
          <w:color w:val="2E3A59"/>
        </w:rPr>
        <w:t>1.1  Hybrid Utility Function</w:t>
      </w:r>
    </w:p>
    <w:p>
      <w:pPr>
        <w:spacing w:after="80"/>
      </w:pPr>
      <w:r>
        <w:rPr>
          <w:b w:val="0"/>
          <w:i w:val="0"/>
          <w:sz w:val="22"/>
        </w:rPr>
        <w:t>For each chunk cᵢ and query q, the hybrid utility is defined as:</w:t>
      </w:r>
    </w:p>
    <w:p>
      <w:pPr>
        <w:spacing w:before="120" w:after="120"/>
        <w:jc w:val="center"/>
      </w:pPr>
      <w:r>
        <w:rPr>
          <w:b/>
          <w:color w:val="1A234E"/>
          <w:sz w:val="22"/>
        </w:rPr>
        <w:t>vᵢ  =  0.7 × cos_sim(embed(cᵢ), embed(q))  +  0.3 × lexical_score(cᵢ, q)</w:t>
      </w:r>
    </w:p>
    <w:p>
      <w:pPr>
        <w:spacing w:after="120"/>
      </w:pPr>
      <w:r>
        <w:rPr>
          <w:b w:val="0"/>
          <w:i w:val="0"/>
          <w:sz w:val="22"/>
        </w:rPr>
        <w:t>Embeddings are produced by sentence-transformers/all-MiniLM-L6-v2, a compact 22M-parameter model that balances semantic quality with inference speed. Crucially, all chunk embeddings are precomputed before timing begins, so the reported runtimes reflect only the selection algorithm — not the embedding inference step. This is consistent with a real RAG pipeline where documents are indexed offline.</w:t>
      </w:r>
    </w:p>
    <w:p>
      <w:pPr>
        <w:pBdr>
          <w:bottom w:val="single" w:sz="4" w:space="1" w:color="0D7C8F"/>
        </w:pBdr>
        <w:spacing w:after="160"/>
      </w:pPr>
    </w:p>
    <w:p>
      <w:pPr>
        <w:pStyle w:val="Heading1"/>
        <w:spacing w:before="280" w:after="80"/>
      </w:pPr>
      <w:r>
        <w:rPr>
          <w:color w:val="1A234E"/>
        </w:rPr>
        <w:t>2  Experimental Setup</w:t>
      </w:r>
    </w:p>
    <w:p>
      <w:pPr>
        <w:spacing w:after="120"/>
      </w:pPr>
      <w:r>
        <w:rPr>
          <w:b w:val="0"/>
          <w:i w:val="0"/>
          <w:sz w:val="22"/>
        </w:rPr>
        <w:t>The experimental configuration is identical to the lexical baseline to enable direct comparison. All differences arise solely from the utility scoring method.</w:t>
      </w:r>
    </w:p>
    <w:tbl>
      <w:tblPr>
        <w:tblStyle w:val="TableGrid"/>
        <w:tblW w:type="auto" w:w="0"/>
        <w:jc w:val="center"/>
        <w:tblLook w:firstColumn="1" w:firstRow="1" w:lastColumn="0" w:lastRow="0" w:noHBand="0" w:noVBand="1" w:val="04A0"/>
      </w:tblPr>
      <w:tblGrid>
        <w:gridCol w:w="4464"/>
        <w:gridCol w:w="4464"/>
      </w:tblGrid>
      <w:tr>
        <w:tc>
          <w:tcPr>
            <w:tcW w:type="dxa" w:w="4464"/>
            <w:shd w:val="clear" w:color="auto" w:fill="1A234E"/>
          </w:tcPr>
          <w:p>
            <w:pPr>
              <w:jc w:val="center"/>
            </w:pPr>
            <w:r>
              <w:rPr>
                <w:b/>
                <w:color w:val="FFFFFF"/>
                <w:sz w:val="18"/>
              </w:rPr>
              <w:t>Parameter</w:t>
            </w:r>
          </w:p>
        </w:tc>
        <w:tc>
          <w:tcPr>
            <w:tcW w:type="dxa" w:w="4464"/>
            <w:shd w:val="clear" w:color="auto" w:fill="1A234E"/>
          </w:tcPr>
          <w:p>
            <w:pPr>
              <w:jc w:val="center"/>
            </w:pPr>
            <w:r>
              <w:rPr>
                <w:b/>
                <w:color w:val="FFFFFF"/>
                <w:sz w:val="18"/>
              </w:rPr>
              <w:t>Value</w:t>
            </w:r>
          </w:p>
        </w:tc>
      </w:tr>
      <w:tr>
        <w:tc>
          <w:tcPr>
            <w:tcW w:type="dxa" w:w="4464"/>
            <w:shd w:val="clear" w:color="auto" w:fill="E8EEF5"/>
          </w:tcPr>
          <w:p>
            <w:pPr>
              <w:jc w:val="center"/>
            </w:pPr>
            <w:r>
              <w:rPr>
                <w:sz w:val="18"/>
              </w:rPr>
              <w:t>Dataset</w:t>
            </w:r>
          </w:p>
        </w:tc>
        <w:tc>
          <w:tcPr>
            <w:tcW w:type="dxa" w:w="4464"/>
            <w:shd w:val="clear" w:color="auto" w:fill="E8EEF5"/>
          </w:tcPr>
          <w:p>
            <w:pPr>
              <w:jc w:val="center"/>
            </w:pPr>
            <w:r>
              <w:rPr>
                <w:sz w:val="18"/>
              </w:rPr>
              <w:t>HotpotQA distractor validation split (merged instances)</w:t>
            </w:r>
          </w:p>
        </w:tc>
      </w:tr>
      <w:tr>
        <w:tc>
          <w:tcPr>
            <w:tcW w:type="dxa" w:w="4464"/>
            <w:shd w:val="clear" w:color="auto" w:fill="FFFFFF"/>
          </w:tcPr>
          <w:p>
            <w:pPr>
              <w:jc w:val="center"/>
            </w:pPr>
            <w:r>
              <w:rPr>
                <w:sz w:val="18"/>
              </w:rPr>
              <w:t>Merge sizes</w:t>
            </w:r>
          </w:p>
        </w:tc>
        <w:tc>
          <w:tcPr>
            <w:tcW w:type="dxa" w:w="4464"/>
            <w:shd w:val="clear" w:color="auto" w:fill="FFFFFF"/>
          </w:tcPr>
          <w:p>
            <w:pPr>
              <w:jc w:val="center"/>
            </w:pPr>
            <w:r>
              <w:rPr>
                <w:sz w:val="18"/>
              </w:rPr>
              <w:t>10, 20, 30, 40, 50</w:t>
            </w:r>
          </w:p>
        </w:tc>
      </w:tr>
      <w:tr>
        <w:tc>
          <w:tcPr>
            <w:tcW w:type="dxa" w:w="4464"/>
            <w:shd w:val="clear" w:color="auto" w:fill="E8EEF5"/>
          </w:tcPr>
          <w:p>
            <w:pPr>
              <w:jc w:val="center"/>
            </w:pPr>
            <w:r>
              <w:rPr>
                <w:sz w:val="18"/>
              </w:rPr>
              <w:t>Samples per merge size</w:t>
            </w:r>
          </w:p>
        </w:tc>
        <w:tc>
          <w:tcPr>
            <w:tcW w:type="dxa" w:w="4464"/>
            <w:shd w:val="clear" w:color="auto" w:fill="E8EEF5"/>
          </w:tcPr>
          <w:p>
            <w:pPr>
              <w:jc w:val="center"/>
            </w:pPr>
            <w:r>
              <w:rPr>
                <w:sz w:val="18"/>
              </w:rPr>
              <w:t>20  (100 total instances)</w:t>
            </w:r>
          </w:p>
        </w:tc>
      </w:tr>
      <w:tr>
        <w:tc>
          <w:tcPr>
            <w:tcW w:type="dxa" w:w="4464"/>
            <w:shd w:val="clear" w:color="auto" w:fill="FFFFFF"/>
          </w:tcPr>
          <w:p>
            <w:pPr>
              <w:jc w:val="center"/>
            </w:pPr>
            <w:r>
              <w:rPr>
                <w:sz w:val="18"/>
              </w:rPr>
              <w:t>Chunking</w:t>
            </w:r>
          </w:p>
        </w:tc>
        <w:tc>
          <w:tcPr>
            <w:tcW w:type="dxa" w:w="4464"/>
            <w:shd w:val="clear" w:color="auto" w:fill="FFFFFF"/>
          </w:tcPr>
          <w:p>
            <w:pPr>
              <w:jc w:val="center"/>
            </w:pPr>
            <w:r>
              <w:rPr>
                <w:sz w:val="18"/>
              </w:rPr>
              <w:t>Sentence-level</w:t>
            </w:r>
          </w:p>
        </w:tc>
      </w:tr>
      <w:tr>
        <w:tc>
          <w:tcPr>
            <w:tcW w:type="dxa" w:w="4464"/>
            <w:shd w:val="clear" w:color="auto" w:fill="E8EEF5"/>
          </w:tcPr>
          <w:p>
            <w:pPr>
              <w:jc w:val="center"/>
            </w:pPr>
            <w:r>
              <w:rPr>
                <w:sz w:val="18"/>
              </w:rPr>
              <w:t>Utility function</w:t>
            </w:r>
          </w:p>
        </w:tc>
        <w:tc>
          <w:tcPr>
            <w:tcW w:type="dxa" w:w="4464"/>
            <w:shd w:val="clear" w:color="auto" w:fill="E8EEF5"/>
          </w:tcPr>
          <w:p>
            <w:pPr>
              <w:jc w:val="center"/>
            </w:pPr>
            <w:r>
              <w:rPr>
                <w:sz w:val="18"/>
              </w:rPr>
              <w:t>0.7 × semantic (all-MiniLM-L6-v2)  +  0.3 × lexical</w:t>
            </w:r>
          </w:p>
        </w:tc>
      </w:tr>
      <w:tr>
        <w:tc>
          <w:tcPr>
            <w:tcW w:type="dxa" w:w="4464"/>
            <w:shd w:val="clear" w:color="auto" w:fill="FFFFFF"/>
          </w:tcPr>
          <w:p>
            <w:pPr>
              <w:jc w:val="center"/>
            </w:pPr>
            <w:r>
              <w:rPr>
                <w:sz w:val="18"/>
              </w:rPr>
              <w:t>Weight rationale</w:t>
            </w:r>
          </w:p>
        </w:tc>
        <w:tc>
          <w:tcPr>
            <w:tcW w:type="dxa" w:w="4464"/>
            <w:shd w:val="clear" w:color="auto" w:fill="FFFFFF"/>
          </w:tcPr>
          <w:p>
            <w:pPr>
              <w:jc w:val="center"/>
            </w:pPr>
            <w:r>
              <w:rPr>
                <w:sz w:val="18"/>
              </w:rPr>
              <w:t>Semantic dominates; lexical provides keyword anchoring</w:t>
            </w:r>
          </w:p>
        </w:tc>
      </w:tr>
      <w:tr>
        <w:tc>
          <w:tcPr>
            <w:tcW w:type="dxa" w:w="4464"/>
            <w:shd w:val="clear" w:color="auto" w:fill="E8EEF5"/>
          </w:tcPr>
          <w:p>
            <w:pPr>
              <w:jc w:val="center"/>
            </w:pPr>
            <w:r>
              <w:rPr>
                <w:sz w:val="18"/>
              </w:rPr>
              <w:t>Embedding timing</w:t>
            </w:r>
          </w:p>
        </w:tc>
        <w:tc>
          <w:tcPr>
            <w:tcW w:type="dxa" w:w="4464"/>
            <w:shd w:val="clear" w:color="auto" w:fill="E8EEF5"/>
          </w:tcPr>
          <w:p>
            <w:pPr>
              <w:jc w:val="center"/>
            </w:pPr>
            <w:r>
              <w:rPr>
                <w:sz w:val="18"/>
              </w:rPr>
              <w:t>Precomputed before timing — runtimes reflect selection only</w:t>
            </w:r>
          </w:p>
        </w:tc>
      </w:tr>
      <w:tr>
        <w:tc>
          <w:tcPr>
            <w:tcW w:type="dxa" w:w="4464"/>
            <w:shd w:val="clear" w:color="auto" w:fill="FFFFFF"/>
          </w:tcPr>
          <w:p>
            <w:pPr>
              <w:jc w:val="center"/>
            </w:pPr>
            <w:r>
              <w:rPr>
                <w:sz w:val="18"/>
              </w:rPr>
              <w:t>Token budgets</w:t>
            </w:r>
          </w:p>
        </w:tc>
        <w:tc>
          <w:tcPr>
            <w:tcW w:type="dxa" w:w="4464"/>
            <w:shd w:val="clear" w:color="auto" w:fill="FFFFFF"/>
          </w:tcPr>
          <w:p>
            <w:pPr>
              <w:jc w:val="center"/>
            </w:pPr>
            <w:r>
              <w:rPr>
                <w:sz w:val="18"/>
              </w:rPr>
              <w:t>2,000 · 4,000 · 8,000 tokens</w:t>
            </w:r>
          </w:p>
        </w:tc>
      </w:tr>
      <w:tr>
        <w:tc>
          <w:tcPr>
            <w:tcW w:type="dxa" w:w="4464"/>
            <w:shd w:val="clear" w:color="auto" w:fill="E8EEF5"/>
          </w:tcPr>
          <w:p>
            <w:pPr>
              <w:jc w:val="center"/>
            </w:pPr>
            <w:r>
              <w:rPr>
                <w:sz w:val="18"/>
              </w:rPr>
              <w:t>Cost scaling</w:t>
            </w:r>
          </w:p>
        </w:tc>
        <w:tc>
          <w:tcPr>
            <w:tcW w:type="dxa" w:w="4464"/>
            <w:shd w:val="clear" w:color="auto" w:fill="E8EEF5"/>
          </w:tcPr>
          <w:p>
            <w:pPr>
              <w:jc w:val="center"/>
            </w:pPr>
            <w:r>
              <w:rPr>
                <w:sz w:val="18"/>
              </w:rPr>
              <w:t>dp_cost_scale = 1 (identical across all methods)</w:t>
            </w:r>
          </w:p>
        </w:tc>
      </w:tr>
      <w:tr>
        <w:tc>
          <w:tcPr>
            <w:tcW w:type="dxa" w:w="4464"/>
            <w:shd w:val="clear" w:color="auto" w:fill="FFFFFF"/>
          </w:tcPr>
          <w:p>
            <w:pPr>
              <w:jc w:val="center"/>
            </w:pPr>
            <w:r>
              <w:rPr>
                <w:sz w:val="18"/>
              </w:rPr>
              <w:t>Algorithms</w:t>
            </w:r>
          </w:p>
        </w:tc>
        <w:tc>
          <w:tcPr>
            <w:tcW w:type="dxa" w:w="4464"/>
            <w:shd w:val="clear" w:color="auto" w:fill="FFFFFF"/>
          </w:tcPr>
          <w:p>
            <w:pPr>
              <w:jc w:val="center"/>
            </w:pPr>
            <w:r>
              <w:rPr>
                <w:sz w:val="18"/>
              </w:rPr>
              <w:t>Exact-DP, Greedy-Ratio, Greedy-Refine</w:t>
            </w:r>
          </w:p>
        </w:tc>
      </w:tr>
    </w:tbl>
    <w:p>
      <w:pPr>
        <w:spacing w:before="80"/>
        <w:jc w:val="center"/>
      </w:pPr>
      <w:r>
        <w:rPr>
          <w:i/>
          <w:color w:val="2E3A59"/>
          <w:sz w:val="18"/>
        </w:rPr>
        <w:t>Table 1  —  Hybrid experiment configuration.</w:t>
      </w:r>
    </w:p>
    <w:p/>
    <w:p>
      <w:pPr>
        <w:pBdr>
          <w:bottom w:val="single" w:sz="4" w:space="1" w:color="0D7C8F"/>
        </w:pBdr>
        <w:spacing w:after="160"/>
      </w:pPr>
    </w:p>
    <w:p>
      <w:pPr>
        <w:pStyle w:val="Heading1"/>
        <w:spacing w:before="280" w:after="80"/>
      </w:pPr>
      <w:r>
        <w:rPr>
          <w:color w:val="1A234E"/>
        </w:rPr>
        <w:t>3  Results</w:t>
      </w:r>
    </w:p>
    <w:p>
      <w:pPr>
        <w:spacing w:after="160"/>
      </w:pPr>
      <w:r>
        <w:rPr>
          <w:b w:val="0"/>
          <w:i w:val="0"/>
          <w:sz w:val="22"/>
        </w:rPr>
        <w:t>Tables 2–4 present the full hybrid results for all three algorithms. Figures 1–5 provide visual comparisons of runtime scaling and quality metrics.</w:t>
      </w:r>
    </w:p>
    <w:p>
      <w:pPr>
        <w:pStyle w:val="Heading2"/>
        <w:spacing w:before="160" w:after="80"/>
      </w:pPr>
      <w:r>
        <w:rPr>
          <w:color w:val="2E3A59"/>
        </w:rPr>
        <w:t>3.1  Hybrid Exact-DP</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275"/>
            <w:shd w:val="clear" w:color="auto" w:fill="1A234E"/>
          </w:tcPr>
          <w:p>
            <w:pPr>
              <w:jc w:val="center"/>
            </w:pPr>
            <w:r>
              <w:rPr>
                <w:b/>
                <w:color w:val="FFFFFF"/>
                <w:sz w:val="18"/>
              </w:rPr>
              <w:t>Merge</w:t>
            </w:r>
          </w:p>
        </w:tc>
        <w:tc>
          <w:tcPr>
            <w:tcW w:type="dxa" w:w="1275"/>
            <w:shd w:val="clear" w:color="auto" w:fill="1A234E"/>
          </w:tcPr>
          <w:p>
            <w:pPr>
              <w:jc w:val="center"/>
            </w:pPr>
            <w:r>
              <w:rPr>
                <w:b/>
                <w:color w:val="FFFFFF"/>
                <w:sz w:val="18"/>
              </w:rPr>
              <w:t>Budget</w:t>
            </w:r>
          </w:p>
        </w:tc>
        <w:tc>
          <w:tcPr>
            <w:tcW w:type="dxa" w:w="1275"/>
            <w:shd w:val="clear" w:color="auto" w:fill="1A234E"/>
          </w:tcPr>
          <w:p>
            <w:pPr>
              <w:jc w:val="center"/>
            </w:pPr>
            <w:r>
              <w:rPr>
                <w:b/>
                <w:color w:val="FFFFFF"/>
                <w:sz w:val="18"/>
              </w:rPr>
              <w:t>Runtime (s)</w:t>
            </w:r>
          </w:p>
        </w:tc>
        <w:tc>
          <w:tcPr>
            <w:tcW w:type="dxa" w:w="1275"/>
            <w:shd w:val="clear" w:color="auto" w:fill="1A234E"/>
          </w:tcPr>
          <w:p>
            <w:pPr>
              <w:jc w:val="center"/>
            </w:pPr>
            <w:r>
              <w:rPr>
                <w:b/>
                <w:color w:val="FFFFFF"/>
                <w:sz w:val="18"/>
              </w:rPr>
              <w:t>Utility</w:t>
            </w:r>
          </w:p>
        </w:tc>
        <w:tc>
          <w:tcPr>
            <w:tcW w:type="dxa" w:w="1275"/>
            <w:shd w:val="clear" w:color="auto" w:fill="1A234E"/>
          </w:tcPr>
          <w:p>
            <w:pPr>
              <w:jc w:val="center"/>
            </w:pPr>
            <w:r>
              <w:rPr>
                <w:b/>
                <w:color w:val="FFFFFF"/>
                <w:sz w:val="18"/>
              </w:rPr>
              <w:t>Support Recall</w:t>
            </w:r>
          </w:p>
        </w:tc>
        <w:tc>
          <w:tcPr>
            <w:tcW w:type="dxa" w:w="1275"/>
            <w:shd w:val="clear" w:color="auto" w:fill="1A234E"/>
          </w:tcPr>
          <w:p>
            <w:pPr>
              <w:jc w:val="center"/>
            </w:pPr>
            <w:r>
              <w:rPr>
                <w:b/>
                <w:color w:val="FFFFFF"/>
                <w:sz w:val="18"/>
              </w:rPr>
              <w:t>Exact Cov.</w:t>
            </w:r>
          </w:p>
        </w:tc>
        <w:tc>
          <w:tcPr>
            <w:tcW w:type="dxa" w:w="1275"/>
            <w:shd w:val="clear" w:color="auto" w:fill="1A234E"/>
          </w:tcPr>
          <w:p>
            <w:pPr>
              <w:jc w:val="center"/>
            </w:pPr>
            <w:r>
              <w:rPr>
                <w:b/>
                <w:color w:val="FFFFFF"/>
                <w:sz w:val="18"/>
              </w:rPr>
              <w:t>Comp. Ratio</w:t>
            </w:r>
          </w:p>
        </w:tc>
      </w:tr>
      <w:tr>
        <w:tc>
          <w:tcPr>
            <w:tcW w:type="dxa" w:w="1275"/>
            <w:shd w:val="clear" w:color="auto" w:fill="E8EEF5"/>
          </w:tcPr>
          <w:p>
            <w:pPr>
              <w:jc w:val="center"/>
            </w:pPr>
            <w:r>
              <w:rPr>
                <w:sz w:val="18"/>
              </w:rPr>
              <w:t>10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0.176</w:t>
            </w:r>
          </w:p>
        </w:tc>
        <w:tc>
          <w:tcPr>
            <w:tcW w:type="dxa" w:w="1275"/>
            <w:shd w:val="clear" w:color="auto" w:fill="E8EEF5"/>
          </w:tcPr>
          <w:p>
            <w:pPr>
              <w:jc w:val="center"/>
            </w:pPr>
            <w:r>
              <w:rPr>
                <w:sz w:val="18"/>
              </w:rPr>
              <w:t>44.13</w:t>
            </w:r>
          </w:p>
        </w:tc>
        <w:tc>
          <w:tcPr>
            <w:tcW w:type="dxa" w:w="1275"/>
            <w:shd w:val="clear" w:color="auto" w:fill="E8EEF5"/>
          </w:tcPr>
          <w:p>
            <w:pPr>
              <w:jc w:val="center"/>
            </w:pPr>
            <w:r>
              <w:rPr>
                <w:sz w:val="18"/>
              </w:rPr>
              <w:t>0.863</w:t>
            </w:r>
          </w:p>
        </w:tc>
        <w:tc>
          <w:tcPr>
            <w:tcW w:type="dxa" w:w="1275"/>
            <w:shd w:val="clear" w:color="auto" w:fill="E8EEF5"/>
          </w:tcPr>
          <w:p>
            <w:pPr>
              <w:jc w:val="center"/>
            </w:pPr>
            <w:r>
              <w:rPr>
                <w:sz w:val="18"/>
              </w:rPr>
              <w:t>0.75</w:t>
            </w:r>
          </w:p>
        </w:tc>
        <w:tc>
          <w:tcPr>
            <w:tcW w:type="dxa" w:w="1275"/>
            <w:shd w:val="clear" w:color="auto" w:fill="E8EEF5"/>
          </w:tcPr>
          <w:p>
            <w:pPr>
              <w:jc w:val="center"/>
            </w:pPr>
            <w:r>
              <w:rPr>
                <w:sz w:val="18"/>
              </w:rPr>
              <w:t>0.182</w:t>
            </w:r>
          </w:p>
        </w:tc>
      </w:tr>
      <w:tr>
        <w:tc>
          <w:tcPr>
            <w:tcW w:type="dxa" w:w="1275"/>
            <w:shd w:val="clear" w:color="auto" w:fill="FFFFFF"/>
          </w:tcPr>
          <w:p>
            <w:pPr>
              <w:jc w:val="center"/>
            </w:pPr>
            <w:r>
              <w:rPr>
                <w:sz w:val="18"/>
              </w:rPr>
              <w:t>10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0.290</w:t>
            </w:r>
          </w:p>
        </w:tc>
        <w:tc>
          <w:tcPr>
            <w:tcW w:type="dxa" w:w="1275"/>
            <w:shd w:val="clear" w:color="auto" w:fill="FFFFFF"/>
          </w:tcPr>
          <w:p>
            <w:pPr>
              <w:jc w:val="center"/>
            </w:pPr>
            <w:r>
              <w:rPr>
                <w:sz w:val="18"/>
              </w:rPr>
              <w:t>63.57</w:t>
            </w:r>
          </w:p>
        </w:tc>
        <w:tc>
          <w:tcPr>
            <w:tcW w:type="dxa" w:w="1275"/>
            <w:shd w:val="clear" w:color="auto" w:fill="FFFFFF"/>
          </w:tcPr>
          <w:p>
            <w:pPr>
              <w:jc w:val="center"/>
            </w:pPr>
            <w:r>
              <w:rPr>
                <w:sz w:val="18"/>
              </w:rPr>
              <w:t>0.940</w:t>
            </w:r>
          </w:p>
        </w:tc>
        <w:tc>
          <w:tcPr>
            <w:tcW w:type="dxa" w:w="1275"/>
            <w:shd w:val="clear" w:color="auto" w:fill="FFFFFF"/>
          </w:tcPr>
          <w:p>
            <w:pPr>
              <w:jc w:val="center"/>
            </w:pPr>
            <w:r>
              <w:rPr>
                <w:sz w:val="18"/>
              </w:rPr>
              <w:t>0.85</w:t>
            </w:r>
          </w:p>
        </w:tc>
        <w:tc>
          <w:tcPr>
            <w:tcW w:type="dxa" w:w="1275"/>
            <w:shd w:val="clear" w:color="auto" w:fill="FFFFFF"/>
          </w:tcPr>
          <w:p>
            <w:pPr>
              <w:jc w:val="center"/>
            </w:pPr>
            <w:r>
              <w:rPr>
                <w:sz w:val="18"/>
              </w:rPr>
              <w:t>0.363</w:t>
            </w:r>
          </w:p>
        </w:tc>
      </w:tr>
      <w:tr>
        <w:tc>
          <w:tcPr>
            <w:tcW w:type="dxa" w:w="1275"/>
            <w:shd w:val="clear" w:color="auto" w:fill="E8EEF5"/>
          </w:tcPr>
          <w:p>
            <w:pPr>
              <w:jc w:val="center"/>
            </w:pPr>
            <w:r>
              <w:rPr>
                <w:sz w:val="18"/>
              </w:rPr>
              <w:t>10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0.586</w:t>
            </w:r>
          </w:p>
        </w:tc>
        <w:tc>
          <w:tcPr>
            <w:tcW w:type="dxa" w:w="1275"/>
            <w:shd w:val="clear" w:color="auto" w:fill="E8EEF5"/>
          </w:tcPr>
          <w:p>
            <w:pPr>
              <w:jc w:val="center"/>
            </w:pPr>
            <w:r>
              <w:rPr>
                <w:sz w:val="18"/>
              </w:rPr>
              <w:t>87.57</w:t>
            </w:r>
          </w:p>
        </w:tc>
        <w:tc>
          <w:tcPr>
            <w:tcW w:type="dxa" w:w="1275"/>
            <w:shd w:val="clear" w:color="auto" w:fill="E8EEF5"/>
          </w:tcPr>
          <w:p>
            <w:pPr>
              <w:jc w:val="center"/>
            </w:pPr>
            <w:r>
              <w:rPr>
                <w:sz w:val="18"/>
              </w:rPr>
              <w:t>1.000</w:t>
            </w:r>
          </w:p>
        </w:tc>
        <w:tc>
          <w:tcPr>
            <w:tcW w:type="dxa" w:w="1275"/>
            <w:shd w:val="clear" w:color="auto" w:fill="E8EEF5"/>
          </w:tcPr>
          <w:p>
            <w:pPr>
              <w:jc w:val="center"/>
            </w:pPr>
            <w:r>
              <w:rPr>
                <w:sz w:val="18"/>
              </w:rPr>
              <w:t>1.00</w:t>
            </w:r>
          </w:p>
        </w:tc>
        <w:tc>
          <w:tcPr>
            <w:tcW w:type="dxa" w:w="1275"/>
            <w:shd w:val="clear" w:color="auto" w:fill="E8EEF5"/>
          </w:tcPr>
          <w:p>
            <w:pPr>
              <w:jc w:val="center"/>
            </w:pPr>
            <w:r>
              <w:rPr>
                <w:sz w:val="18"/>
              </w:rPr>
              <w:t>0.726</w:t>
            </w:r>
          </w:p>
        </w:tc>
      </w:tr>
      <w:tr>
        <w:tc>
          <w:tcPr>
            <w:tcW w:type="dxa" w:w="1275"/>
            <w:shd w:val="clear" w:color="auto" w:fill="FFFFFF"/>
          </w:tcPr>
          <w:p>
            <w:pPr>
              <w:jc w:val="center"/>
            </w:pPr>
            <w:r>
              <w:rPr>
                <w:sz w:val="18"/>
              </w:rPr>
              <w:t>20</w:t>
            </w:r>
          </w:p>
        </w:tc>
        <w:tc>
          <w:tcPr>
            <w:tcW w:type="dxa" w:w="1275"/>
            <w:shd w:val="clear" w:color="auto" w:fill="FFFFFF"/>
          </w:tcPr>
          <w:p>
            <w:pPr>
              <w:jc w:val="center"/>
            </w:pPr>
            <w:r>
              <w:rPr>
                <w:sz w:val="18"/>
              </w:rPr>
              <w:t>2,000</w:t>
            </w:r>
          </w:p>
        </w:tc>
        <w:tc>
          <w:tcPr>
            <w:tcW w:type="dxa" w:w="1275"/>
            <w:shd w:val="clear" w:color="auto" w:fill="FFFFFF"/>
          </w:tcPr>
          <w:p>
            <w:pPr>
              <w:jc w:val="center"/>
            </w:pPr>
            <w:r>
              <w:rPr>
                <w:sz w:val="18"/>
              </w:rPr>
              <w:t>0.238</w:t>
            </w:r>
          </w:p>
        </w:tc>
        <w:tc>
          <w:tcPr>
            <w:tcW w:type="dxa" w:w="1275"/>
            <w:shd w:val="clear" w:color="auto" w:fill="FFFFFF"/>
          </w:tcPr>
          <w:p>
            <w:pPr>
              <w:jc w:val="center"/>
            </w:pPr>
            <w:r>
              <w:rPr>
                <w:sz w:val="18"/>
              </w:rPr>
              <w:t>63.21</w:t>
            </w:r>
          </w:p>
        </w:tc>
        <w:tc>
          <w:tcPr>
            <w:tcW w:type="dxa" w:w="1275"/>
            <w:shd w:val="clear" w:color="auto" w:fill="FFFFFF"/>
          </w:tcPr>
          <w:p>
            <w:pPr>
              <w:jc w:val="center"/>
            </w:pPr>
            <w:r>
              <w:rPr>
                <w:sz w:val="18"/>
              </w:rPr>
              <w:t>0.833</w:t>
            </w:r>
          </w:p>
        </w:tc>
        <w:tc>
          <w:tcPr>
            <w:tcW w:type="dxa" w:w="1275"/>
            <w:shd w:val="clear" w:color="auto" w:fill="FFFFFF"/>
          </w:tcPr>
          <w:p>
            <w:pPr>
              <w:jc w:val="center"/>
            </w:pPr>
            <w:r>
              <w:rPr>
                <w:sz w:val="18"/>
              </w:rPr>
              <w:t>0.65</w:t>
            </w:r>
          </w:p>
        </w:tc>
        <w:tc>
          <w:tcPr>
            <w:tcW w:type="dxa" w:w="1275"/>
            <w:shd w:val="clear" w:color="auto" w:fill="FFFFFF"/>
          </w:tcPr>
          <w:p>
            <w:pPr>
              <w:jc w:val="center"/>
            </w:pPr>
            <w:r>
              <w:rPr>
                <w:sz w:val="18"/>
              </w:rPr>
              <w:t>0.091</w:t>
            </w:r>
          </w:p>
        </w:tc>
      </w:tr>
      <w:tr>
        <w:tc>
          <w:tcPr>
            <w:tcW w:type="dxa" w:w="1275"/>
            <w:shd w:val="clear" w:color="auto" w:fill="E8EEF5"/>
          </w:tcPr>
          <w:p>
            <w:pPr>
              <w:jc w:val="center"/>
            </w:pPr>
            <w:r>
              <w:rPr>
                <w:sz w:val="18"/>
              </w:rPr>
              <w:t>20</w:t>
            </w:r>
          </w:p>
        </w:tc>
        <w:tc>
          <w:tcPr>
            <w:tcW w:type="dxa" w:w="1275"/>
            <w:shd w:val="clear" w:color="auto" w:fill="E8EEF5"/>
          </w:tcPr>
          <w:p>
            <w:pPr>
              <w:jc w:val="center"/>
            </w:pPr>
            <w:r>
              <w:rPr>
                <w:sz w:val="18"/>
              </w:rPr>
              <w:t>4,000</w:t>
            </w:r>
          </w:p>
        </w:tc>
        <w:tc>
          <w:tcPr>
            <w:tcW w:type="dxa" w:w="1275"/>
            <w:shd w:val="clear" w:color="auto" w:fill="E8EEF5"/>
          </w:tcPr>
          <w:p>
            <w:pPr>
              <w:jc w:val="center"/>
            </w:pPr>
            <w:r>
              <w:rPr>
                <w:sz w:val="18"/>
              </w:rPr>
              <w:t>0.426</w:t>
            </w:r>
          </w:p>
        </w:tc>
        <w:tc>
          <w:tcPr>
            <w:tcW w:type="dxa" w:w="1275"/>
            <w:shd w:val="clear" w:color="auto" w:fill="E8EEF5"/>
          </w:tcPr>
          <w:p>
            <w:pPr>
              <w:jc w:val="center"/>
            </w:pPr>
            <w:r>
              <w:rPr>
                <w:sz w:val="18"/>
              </w:rPr>
              <w:t>93.87</w:t>
            </w:r>
          </w:p>
        </w:tc>
        <w:tc>
          <w:tcPr>
            <w:tcW w:type="dxa" w:w="1275"/>
            <w:shd w:val="clear" w:color="auto" w:fill="E8EEF5"/>
          </w:tcPr>
          <w:p>
            <w:pPr>
              <w:jc w:val="center"/>
            </w:pPr>
            <w:r>
              <w:rPr>
                <w:sz w:val="18"/>
              </w:rPr>
              <w:t>0.963</w:t>
            </w:r>
          </w:p>
        </w:tc>
        <w:tc>
          <w:tcPr>
            <w:tcW w:type="dxa" w:w="1275"/>
            <w:shd w:val="clear" w:color="auto" w:fill="E8EEF5"/>
          </w:tcPr>
          <w:p>
            <w:pPr>
              <w:jc w:val="center"/>
            </w:pPr>
            <w:r>
              <w:rPr>
                <w:sz w:val="18"/>
              </w:rPr>
              <w:t>0.90</w:t>
            </w:r>
          </w:p>
        </w:tc>
        <w:tc>
          <w:tcPr>
            <w:tcW w:type="dxa" w:w="1275"/>
            <w:shd w:val="clear" w:color="auto" w:fill="E8EEF5"/>
          </w:tcPr>
          <w:p>
            <w:pPr>
              <w:jc w:val="center"/>
            </w:pPr>
            <w:r>
              <w:rPr>
                <w:sz w:val="18"/>
              </w:rPr>
              <w:t>0.181</w:t>
            </w:r>
          </w:p>
        </w:tc>
      </w:tr>
      <w:tr>
        <w:tc>
          <w:tcPr>
            <w:tcW w:type="dxa" w:w="1275"/>
            <w:shd w:val="clear" w:color="auto" w:fill="FFFFFF"/>
          </w:tcPr>
          <w:p>
            <w:pPr>
              <w:jc w:val="center"/>
            </w:pPr>
            <w:r>
              <w:rPr>
                <w:sz w:val="18"/>
              </w:rPr>
              <w:t>20</w:t>
            </w:r>
          </w:p>
        </w:tc>
        <w:tc>
          <w:tcPr>
            <w:tcW w:type="dxa" w:w="1275"/>
            <w:shd w:val="clear" w:color="auto" w:fill="FFFFFF"/>
          </w:tcPr>
          <w:p>
            <w:pPr>
              <w:jc w:val="center"/>
            </w:pPr>
            <w:r>
              <w:rPr>
                <w:sz w:val="18"/>
              </w:rPr>
              <w:t>8,000</w:t>
            </w:r>
          </w:p>
        </w:tc>
        <w:tc>
          <w:tcPr>
            <w:tcW w:type="dxa" w:w="1275"/>
            <w:shd w:val="clear" w:color="auto" w:fill="FFFFFF"/>
          </w:tcPr>
          <w:p>
            <w:pPr>
              <w:jc w:val="center"/>
            </w:pPr>
            <w:r>
              <w:rPr>
                <w:sz w:val="18"/>
              </w:rPr>
              <w:t>0.856</w:t>
            </w:r>
          </w:p>
        </w:tc>
        <w:tc>
          <w:tcPr>
            <w:tcW w:type="dxa" w:w="1275"/>
            <w:shd w:val="clear" w:color="auto" w:fill="FFFFFF"/>
          </w:tcPr>
          <w:p>
            <w:pPr>
              <w:jc w:val="center"/>
            </w:pPr>
            <w:r>
              <w:rPr>
                <w:sz w:val="18"/>
              </w:rPr>
              <w:t>137.02</w:t>
            </w:r>
          </w:p>
        </w:tc>
        <w:tc>
          <w:tcPr>
            <w:tcW w:type="dxa" w:w="1275"/>
            <w:shd w:val="clear" w:color="auto" w:fill="FFFFFF"/>
          </w:tcPr>
          <w:p>
            <w:pPr>
              <w:jc w:val="center"/>
            </w:pPr>
            <w:r>
              <w:rPr>
                <w:sz w:val="18"/>
              </w:rPr>
              <w:t>1.000</w:t>
            </w:r>
          </w:p>
        </w:tc>
        <w:tc>
          <w:tcPr>
            <w:tcW w:type="dxa" w:w="1275"/>
            <w:shd w:val="clear" w:color="auto" w:fill="FFFFFF"/>
          </w:tcPr>
          <w:p>
            <w:pPr>
              <w:jc w:val="center"/>
            </w:pPr>
            <w:r>
              <w:rPr>
                <w:sz w:val="18"/>
              </w:rPr>
              <w:t>1.00</w:t>
            </w:r>
          </w:p>
        </w:tc>
        <w:tc>
          <w:tcPr>
            <w:tcW w:type="dxa" w:w="1275"/>
            <w:shd w:val="clear" w:color="auto" w:fill="FFFFFF"/>
          </w:tcPr>
          <w:p>
            <w:pPr>
              <w:jc w:val="center"/>
            </w:pPr>
            <w:r>
              <w:rPr>
                <w:sz w:val="18"/>
              </w:rPr>
              <w:t>0.362</w:t>
            </w:r>
          </w:p>
        </w:tc>
      </w:tr>
      <w:tr>
        <w:tc>
          <w:tcPr>
            <w:tcW w:type="dxa" w:w="1275"/>
            <w:shd w:val="clear" w:color="auto" w:fill="E8EEF5"/>
          </w:tcPr>
          <w:p>
            <w:pPr>
              <w:jc w:val="center"/>
            </w:pPr>
            <w:r>
              <w:rPr>
                <w:sz w:val="18"/>
              </w:rPr>
              <w:t>30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0.305</w:t>
            </w:r>
          </w:p>
        </w:tc>
        <w:tc>
          <w:tcPr>
            <w:tcW w:type="dxa" w:w="1275"/>
            <w:shd w:val="clear" w:color="auto" w:fill="E8EEF5"/>
          </w:tcPr>
          <w:p>
            <w:pPr>
              <w:jc w:val="center"/>
            </w:pPr>
            <w:r>
              <w:rPr>
                <w:sz w:val="18"/>
              </w:rPr>
              <w:t>72.24</w:t>
            </w:r>
          </w:p>
        </w:tc>
        <w:tc>
          <w:tcPr>
            <w:tcW w:type="dxa" w:w="1275"/>
            <w:shd w:val="clear" w:color="auto" w:fill="E8EEF5"/>
          </w:tcPr>
          <w:p>
            <w:pPr>
              <w:jc w:val="center"/>
            </w:pPr>
            <w:r>
              <w:rPr>
                <w:sz w:val="18"/>
              </w:rPr>
              <w:t>0.838</w:t>
            </w:r>
          </w:p>
        </w:tc>
        <w:tc>
          <w:tcPr>
            <w:tcW w:type="dxa" w:w="1275"/>
            <w:shd w:val="clear" w:color="auto" w:fill="E8EEF5"/>
          </w:tcPr>
          <w:p>
            <w:pPr>
              <w:jc w:val="center"/>
            </w:pPr>
            <w:r>
              <w:rPr>
                <w:sz w:val="18"/>
              </w:rPr>
              <w:t>0.65</w:t>
            </w:r>
          </w:p>
        </w:tc>
        <w:tc>
          <w:tcPr>
            <w:tcW w:type="dxa" w:w="1275"/>
            <w:shd w:val="clear" w:color="auto" w:fill="E8EEF5"/>
          </w:tcPr>
          <w:p>
            <w:pPr>
              <w:jc w:val="center"/>
            </w:pPr>
            <w:r>
              <w:rPr>
                <w:sz w:val="18"/>
              </w:rPr>
              <w:t>0.061</w:t>
            </w:r>
          </w:p>
        </w:tc>
      </w:tr>
      <w:tr>
        <w:tc>
          <w:tcPr>
            <w:tcW w:type="dxa" w:w="1275"/>
            <w:shd w:val="clear" w:color="auto" w:fill="FFFFFF"/>
          </w:tcPr>
          <w:p>
            <w:pPr>
              <w:jc w:val="center"/>
            </w:pPr>
            <w:r>
              <w:rPr>
                <w:sz w:val="18"/>
              </w:rPr>
              <w:t>30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0.563</w:t>
            </w:r>
          </w:p>
        </w:tc>
        <w:tc>
          <w:tcPr>
            <w:tcW w:type="dxa" w:w="1275"/>
            <w:shd w:val="clear" w:color="auto" w:fill="FFFFFF"/>
          </w:tcPr>
          <w:p>
            <w:pPr>
              <w:jc w:val="center"/>
            </w:pPr>
            <w:r>
              <w:rPr>
                <w:sz w:val="18"/>
              </w:rPr>
              <w:t>106.89</w:t>
            </w:r>
          </w:p>
        </w:tc>
        <w:tc>
          <w:tcPr>
            <w:tcW w:type="dxa" w:w="1275"/>
            <w:shd w:val="clear" w:color="auto" w:fill="FFFFFF"/>
          </w:tcPr>
          <w:p>
            <w:pPr>
              <w:jc w:val="center"/>
            </w:pPr>
            <w:r>
              <w:rPr>
                <w:sz w:val="18"/>
              </w:rPr>
              <w:t>0.879</w:t>
            </w:r>
          </w:p>
        </w:tc>
        <w:tc>
          <w:tcPr>
            <w:tcW w:type="dxa" w:w="1275"/>
            <w:shd w:val="clear" w:color="auto" w:fill="FFFFFF"/>
          </w:tcPr>
          <w:p>
            <w:pPr>
              <w:jc w:val="center"/>
            </w:pPr>
            <w:r>
              <w:rPr>
                <w:sz w:val="18"/>
              </w:rPr>
              <w:t>0.70</w:t>
            </w:r>
          </w:p>
        </w:tc>
        <w:tc>
          <w:tcPr>
            <w:tcW w:type="dxa" w:w="1275"/>
            <w:shd w:val="clear" w:color="auto" w:fill="FFFFFF"/>
          </w:tcPr>
          <w:p>
            <w:pPr>
              <w:jc w:val="center"/>
            </w:pPr>
            <w:r>
              <w:rPr>
                <w:sz w:val="18"/>
              </w:rPr>
              <w:t>0.121</w:t>
            </w:r>
          </w:p>
        </w:tc>
      </w:tr>
      <w:tr>
        <w:tc>
          <w:tcPr>
            <w:tcW w:type="dxa" w:w="1275"/>
            <w:shd w:val="clear" w:color="auto" w:fill="E8EEF5"/>
          </w:tcPr>
          <w:p>
            <w:pPr>
              <w:jc w:val="center"/>
            </w:pPr>
            <w:r>
              <w:rPr>
                <w:sz w:val="18"/>
              </w:rPr>
              <w:t>30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1.186</w:t>
            </w:r>
          </w:p>
        </w:tc>
        <w:tc>
          <w:tcPr>
            <w:tcW w:type="dxa" w:w="1275"/>
            <w:shd w:val="clear" w:color="auto" w:fill="E8EEF5"/>
          </w:tcPr>
          <w:p>
            <w:pPr>
              <w:jc w:val="center"/>
            </w:pPr>
            <w:r>
              <w:rPr>
                <w:sz w:val="18"/>
              </w:rPr>
              <w:t>158.54</w:t>
            </w:r>
          </w:p>
        </w:tc>
        <w:tc>
          <w:tcPr>
            <w:tcW w:type="dxa" w:w="1275"/>
            <w:shd w:val="clear" w:color="auto" w:fill="E8EEF5"/>
          </w:tcPr>
          <w:p>
            <w:pPr>
              <w:jc w:val="center"/>
            </w:pPr>
            <w:r>
              <w:rPr>
                <w:sz w:val="18"/>
              </w:rPr>
              <w:t>0.942</w:t>
            </w:r>
          </w:p>
        </w:tc>
        <w:tc>
          <w:tcPr>
            <w:tcW w:type="dxa" w:w="1275"/>
            <w:shd w:val="clear" w:color="auto" w:fill="E8EEF5"/>
          </w:tcPr>
          <w:p>
            <w:pPr>
              <w:jc w:val="center"/>
            </w:pPr>
            <w:r>
              <w:rPr>
                <w:sz w:val="18"/>
              </w:rPr>
              <w:t>0.85</w:t>
            </w:r>
          </w:p>
        </w:tc>
        <w:tc>
          <w:tcPr>
            <w:tcW w:type="dxa" w:w="1275"/>
            <w:shd w:val="clear" w:color="auto" w:fill="E8EEF5"/>
          </w:tcPr>
          <w:p>
            <w:pPr>
              <w:jc w:val="center"/>
            </w:pPr>
            <w:r>
              <w:rPr>
                <w:sz w:val="18"/>
              </w:rPr>
              <w:t>0.243</w:t>
            </w:r>
          </w:p>
        </w:tc>
      </w:tr>
      <w:tr>
        <w:tc>
          <w:tcPr>
            <w:tcW w:type="dxa" w:w="1275"/>
            <w:shd w:val="clear" w:color="auto" w:fill="FFFFFF"/>
          </w:tcPr>
          <w:p>
            <w:pPr>
              <w:jc w:val="center"/>
            </w:pPr>
            <w:r>
              <w:rPr>
                <w:sz w:val="18"/>
              </w:rPr>
              <w:t>40</w:t>
            </w:r>
          </w:p>
        </w:tc>
        <w:tc>
          <w:tcPr>
            <w:tcW w:type="dxa" w:w="1275"/>
            <w:shd w:val="clear" w:color="auto" w:fill="FFFFFF"/>
          </w:tcPr>
          <w:p>
            <w:pPr>
              <w:jc w:val="center"/>
            </w:pPr>
            <w:r>
              <w:rPr>
                <w:sz w:val="18"/>
              </w:rPr>
              <w:t>2,000</w:t>
            </w:r>
          </w:p>
        </w:tc>
        <w:tc>
          <w:tcPr>
            <w:tcW w:type="dxa" w:w="1275"/>
            <w:shd w:val="clear" w:color="auto" w:fill="FFFFFF"/>
          </w:tcPr>
          <w:p>
            <w:pPr>
              <w:jc w:val="center"/>
            </w:pPr>
            <w:r>
              <w:rPr>
                <w:sz w:val="18"/>
              </w:rPr>
              <w:t>0.377</w:t>
            </w:r>
          </w:p>
        </w:tc>
        <w:tc>
          <w:tcPr>
            <w:tcW w:type="dxa" w:w="1275"/>
            <w:shd w:val="clear" w:color="auto" w:fill="FFFFFF"/>
          </w:tcPr>
          <w:p>
            <w:pPr>
              <w:jc w:val="center"/>
            </w:pPr>
            <w:r>
              <w:rPr>
                <w:sz w:val="18"/>
              </w:rPr>
              <w:t>83.75</w:t>
            </w:r>
          </w:p>
        </w:tc>
        <w:tc>
          <w:tcPr>
            <w:tcW w:type="dxa" w:w="1275"/>
            <w:shd w:val="clear" w:color="auto" w:fill="FFFFFF"/>
          </w:tcPr>
          <w:p>
            <w:pPr>
              <w:jc w:val="center"/>
            </w:pPr>
            <w:r>
              <w:rPr>
                <w:sz w:val="18"/>
              </w:rPr>
              <w:t>0.518</w:t>
            </w:r>
          </w:p>
        </w:tc>
        <w:tc>
          <w:tcPr>
            <w:tcW w:type="dxa" w:w="1275"/>
            <w:shd w:val="clear" w:color="auto" w:fill="FFFFFF"/>
          </w:tcPr>
          <w:p>
            <w:pPr>
              <w:jc w:val="center"/>
            </w:pPr>
            <w:r>
              <w:rPr>
                <w:sz w:val="18"/>
              </w:rPr>
              <w:t>0.20</w:t>
            </w:r>
          </w:p>
        </w:tc>
        <w:tc>
          <w:tcPr>
            <w:tcW w:type="dxa" w:w="1275"/>
            <w:shd w:val="clear" w:color="auto" w:fill="FFFFFF"/>
          </w:tcPr>
          <w:p>
            <w:pPr>
              <w:jc w:val="center"/>
            </w:pPr>
            <w:r>
              <w:rPr>
                <w:sz w:val="18"/>
              </w:rPr>
              <w:t>0.045</w:t>
            </w:r>
          </w:p>
        </w:tc>
      </w:tr>
      <w:tr>
        <w:tc>
          <w:tcPr>
            <w:tcW w:type="dxa" w:w="1275"/>
            <w:shd w:val="clear" w:color="auto" w:fill="E8EEF5"/>
          </w:tcPr>
          <w:p>
            <w:pPr>
              <w:jc w:val="center"/>
            </w:pPr>
            <w:r>
              <w:rPr>
                <w:sz w:val="18"/>
              </w:rPr>
              <w:t>40</w:t>
            </w:r>
          </w:p>
        </w:tc>
        <w:tc>
          <w:tcPr>
            <w:tcW w:type="dxa" w:w="1275"/>
            <w:shd w:val="clear" w:color="auto" w:fill="E8EEF5"/>
          </w:tcPr>
          <w:p>
            <w:pPr>
              <w:jc w:val="center"/>
            </w:pPr>
            <w:r>
              <w:rPr>
                <w:sz w:val="18"/>
              </w:rPr>
              <w:t>4,000</w:t>
            </w:r>
          </w:p>
        </w:tc>
        <w:tc>
          <w:tcPr>
            <w:tcW w:type="dxa" w:w="1275"/>
            <w:shd w:val="clear" w:color="auto" w:fill="E8EEF5"/>
          </w:tcPr>
          <w:p>
            <w:pPr>
              <w:jc w:val="center"/>
            </w:pPr>
            <w:r>
              <w:rPr>
                <w:sz w:val="18"/>
              </w:rPr>
              <w:t>0.739</w:t>
            </w:r>
          </w:p>
        </w:tc>
        <w:tc>
          <w:tcPr>
            <w:tcW w:type="dxa" w:w="1275"/>
            <w:shd w:val="clear" w:color="auto" w:fill="E8EEF5"/>
          </w:tcPr>
          <w:p>
            <w:pPr>
              <w:jc w:val="center"/>
            </w:pPr>
            <w:r>
              <w:rPr>
                <w:sz w:val="18"/>
              </w:rPr>
              <w:t>123.35</w:t>
            </w:r>
          </w:p>
        </w:tc>
        <w:tc>
          <w:tcPr>
            <w:tcW w:type="dxa" w:w="1275"/>
            <w:shd w:val="clear" w:color="auto" w:fill="E8EEF5"/>
          </w:tcPr>
          <w:p>
            <w:pPr>
              <w:jc w:val="center"/>
            </w:pPr>
            <w:r>
              <w:rPr>
                <w:sz w:val="18"/>
              </w:rPr>
              <w:t>0.784</w:t>
            </w:r>
          </w:p>
        </w:tc>
        <w:tc>
          <w:tcPr>
            <w:tcW w:type="dxa" w:w="1275"/>
            <w:shd w:val="clear" w:color="auto" w:fill="E8EEF5"/>
          </w:tcPr>
          <w:p>
            <w:pPr>
              <w:jc w:val="center"/>
            </w:pPr>
            <w:r>
              <w:rPr>
                <w:sz w:val="18"/>
              </w:rPr>
              <w:t>0.50</w:t>
            </w:r>
          </w:p>
        </w:tc>
        <w:tc>
          <w:tcPr>
            <w:tcW w:type="dxa" w:w="1275"/>
            <w:shd w:val="clear" w:color="auto" w:fill="E8EEF5"/>
          </w:tcPr>
          <w:p>
            <w:pPr>
              <w:jc w:val="center"/>
            </w:pPr>
            <w:r>
              <w:rPr>
                <w:sz w:val="18"/>
              </w:rPr>
              <w:t>0.091</w:t>
            </w:r>
          </w:p>
        </w:tc>
      </w:tr>
      <w:tr>
        <w:tc>
          <w:tcPr>
            <w:tcW w:type="dxa" w:w="1275"/>
            <w:shd w:val="clear" w:color="auto" w:fill="FFFFFF"/>
          </w:tcPr>
          <w:p>
            <w:pPr>
              <w:jc w:val="center"/>
            </w:pPr>
            <w:r>
              <w:rPr>
                <w:sz w:val="18"/>
              </w:rPr>
              <w:t>40</w:t>
            </w:r>
          </w:p>
        </w:tc>
        <w:tc>
          <w:tcPr>
            <w:tcW w:type="dxa" w:w="1275"/>
            <w:shd w:val="clear" w:color="auto" w:fill="FFFFFF"/>
          </w:tcPr>
          <w:p>
            <w:pPr>
              <w:jc w:val="center"/>
            </w:pPr>
            <w:r>
              <w:rPr>
                <w:sz w:val="18"/>
              </w:rPr>
              <w:t>8,000</w:t>
            </w:r>
          </w:p>
        </w:tc>
        <w:tc>
          <w:tcPr>
            <w:tcW w:type="dxa" w:w="1275"/>
            <w:shd w:val="clear" w:color="auto" w:fill="FFFFFF"/>
          </w:tcPr>
          <w:p>
            <w:pPr>
              <w:jc w:val="center"/>
            </w:pPr>
            <w:r>
              <w:rPr>
                <w:sz w:val="18"/>
              </w:rPr>
              <w:t>1.537</w:t>
            </w:r>
          </w:p>
        </w:tc>
        <w:tc>
          <w:tcPr>
            <w:tcW w:type="dxa" w:w="1275"/>
            <w:shd w:val="clear" w:color="auto" w:fill="FFFFFF"/>
          </w:tcPr>
          <w:p>
            <w:pPr>
              <w:jc w:val="center"/>
            </w:pPr>
            <w:r>
              <w:rPr>
                <w:sz w:val="18"/>
              </w:rPr>
              <w:t>182.90</w:t>
            </w:r>
          </w:p>
        </w:tc>
        <w:tc>
          <w:tcPr>
            <w:tcW w:type="dxa" w:w="1275"/>
            <w:shd w:val="clear" w:color="auto" w:fill="FFFFFF"/>
          </w:tcPr>
          <w:p>
            <w:pPr>
              <w:jc w:val="center"/>
            </w:pPr>
            <w:r>
              <w:rPr>
                <w:sz w:val="18"/>
              </w:rPr>
              <w:t>0.872</w:t>
            </w:r>
          </w:p>
        </w:tc>
        <w:tc>
          <w:tcPr>
            <w:tcW w:type="dxa" w:w="1275"/>
            <w:shd w:val="clear" w:color="auto" w:fill="FFFFFF"/>
          </w:tcPr>
          <w:p>
            <w:pPr>
              <w:jc w:val="center"/>
            </w:pPr>
            <w:r>
              <w:rPr>
                <w:sz w:val="18"/>
              </w:rPr>
              <w:t>0.70</w:t>
            </w:r>
          </w:p>
        </w:tc>
        <w:tc>
          <w:tcPr>
            <w:tcW w:type="dxa" w:w="1275"/>
            <w:shd w:val="clear" w:color="auto" w:fill="FFFFFF"/>
          </w:tcPr>
          <w:p>
            <w:pPr>
              <w:jc w:val="center"/>
            </w:pPr>
            <w:r>
              <w:rPr>
                <w:sz w:val="18"/>
              </w:rPr>
              <w:t>0.182</w:t>
            </w:r>
          </w:p>
        </w:tc>
      </w:tr>
      <w:tr>
        <w:tc>
          <w:tcPr>
            <w:tcW w:type="dxa" w:w="1275"/>
            <w:shd w:val="clear" w:color="auto" w:fill="E8EEF5"/>
          </w:tcPr>
          <w:p>
            <w:pPr>
              <w:jc w:val="center"/>
            </w:pPr>
            <w:r>
              <w:rPr>
                <w:sz w:val="18"/>
              </w:rPr>
              <w:t>50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0.450</w:t>
            </w:r>
          </w:p>
        </w:tc>
        <w:tc>
          <w:tcPr>
            <w:tcW w:type="dxa" w:w="1275"/>
            <w:shd w:val="clear" w:color="auto" w:fill="E8EEF5"/>
          </w:tcPr>
          <w:p>
            <w:pPr>
              <w:jc w:val="center"/>
            </w:pPr>
            <w:r>
              <w:rPr>
                <w:sz w:val="18"/>
              </w:rPr>
              <w:t>88.47</w:t>
            </w:r>
          </w:p>
        </w:tc>
        <w:tc>
          <w:tcPr>
            <w:tcW w:type="dxa" w:w="1275"/>
            <w:shd w:val="clear" w:color="auto" w:fill="E8EEF5"/>
          </w:tcPr>
          <w:p>
            <w:pPr>
              <w:jc w:val="center"/>
            </w:pPr>
            <w:r>
              <w:rPr>
                <w:sz w:val="18"/>
              </w:rPr>
              <w:t>0.722</w:t>
            </w:r>
          </w:p>
        </w:tc>
        <w:tc>
          <w:tcPr>
            <w:tcW w:type="dxa" w:w="1275"/>
            <w:shd w:val="clear" w:color="auto" w:fill="E8EEF5"/>
          </w:tcPr>
          <w:p>
            <w:pPr>
              <w:jc w:val="center"/>
            </w:pPr>
            <w:r>
              <w:rPr>
                <w:sz w:val="18"/>
              </w:rPr>
              <w:t>0.45</w:t>
            </w:r>
          </w:p>
        </w:tc>
        <w:tc>
          <w:tcPr>
            <w:tcW w:type="dxa" w:w="1275"/>
            <w:shd w:val="clear" w:color="auto" w:fill="E8EEF5"/>
          </w:tcPr>
          <w:p>
            <w:pPr>
              <w:jc w:val="center"/>
            </w:pPr>
            <w:r>
              <w:rPr>
                <w:sz w:val="18"/>
              </w:rPr>
              <w:t>0.037</w:t>
            </w:r>
          </w:p>
        </w:tc>
      </w:tr>
      <w:tr>
        <w:tc>
          <w:tcPr>
            <w:tcW w:type="dxa" w:w="1275"/>
            <w:shd w:val="clear" w:color="auto" w:fill="FFFFFF"/>
          </w:tcPr>
          <w:p>
            <w:pPr>
              <w:jc w:val="center"/>
            </w:pPr>
            <w:r>
              <w:rPr>
                <w:sz w:val="18"/>
              </w:rPr>
              <w:t>50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0.875</w:t>
            </w:r>
          </w:p>
        </w:tc>
        <w:tc>
          <w:tcPr>
            <w:tcW w:type="dxa" w:w="1275"/>
            <w:shd w:val="clear" w:color="auto" w:fill="FFFFFF"/>
          </w:tcPr>
          <w:p>
            <w:pPr>
              <w:jc w:val="center"/>
            </w:pPr>
            <w:r>
              <w:rPr>
                <w:sz w:val="18"/>
              </w:rPr>
              <w:t>129.74</w:t>
            </w:r>
          </w:p>
        </w:tc>
        <w:tc>
          <w:tcPr>
            <w:tcW w:type="dxa" w:w="1275"/>
            <w:shd w:val="clear" w:color="auto" w:fill="FFFFFF"/>
          </w:tcPr>
          <w:p>
            <w:pPr>
              <w:jc w:val="center"/>
            </w:pPr>
            <w:r>
              <w:rPr>
                <w:sz w:val="18"/>
              </w:rPr>
              <w:t>0.911</w:t>
            </w:r>
          </w:p>
        </w:tc>
        <w:tc>
          <w:tcPr>
            <w:tcW w:type="dxa" w:w="1275"/>
            <w:shd w:val="clear" w:color="auto" w:fill="FFFFFF"/>
          </w:tcPr>
          <w:p>
            <w:pPr>
              <w:jc w:val="center"/>
            </w:pPr>
            <w:r>
              <w:rPr>
                <w:sz w:val="18"/>
              </w:rPr>
              <w:t>0.85</w:t>
            </w:r>
          </w:p>
        </w:tc>
        <w:tc>
          <w:tcPr>
            <w:tcW w:type="dxa" w:w="1275"/>
            <w:shd w:val="clear" w:color="auto" w:fill="FFFFFF"/>
          </w:tcPr>
          <w:p>
            <w:pPr>
              <w:jc w:val="center"/>
            </w:pPr>
            <w:r>
              <w:rPr>
                <w:sz w:val="18"/>
              </w:rPr>
              <w:t>0.074</w:t>
            </w:r>
          </w:p>
        </w:tc>
      </w:tr>
      <w:tr>
        <w:tc>
          <w:tcPr>
            <w:tcW w:type="dxa" w:w="1275"/>
            <w:shd w:val="clear" w:color="auto" w:fill="E8EEF5"/>
          </w:tcPr>
          <w:p>
            <w:pPr>
              <w:jc w:val="center"/>
            </w:pPr>
            <w:r>
              <w:rPr>
                <w:sz w:val="18"/>
              </w:rPr>
              <w:t>50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1.826</w:t>
            </w:r>
          </w:p>
        </w:tc>
        <w:tc>
          <w:tcPr>
            <w:tcW w:type="dxa" w:w="1275"/>
            <w:shd w:val="clear" w:color="auto" w:fill="E8EEF5"/>
          </w:tcPr>
          <w:p>
            <w:pPr>
              <w:jc w:val="center"/>
            </w:pPr>
            <w:r>
              <w:rPr>
                <w:sz w:val="18"/>
              </w:rPr>
              <w:t>192.59</w:t>
            </w:r>
          </w:p>
        </w:tc>
        <w:tc>
          <w:tcPr>
            <w:tcW w:type="dxa" w:w="1275"/>
            <w:shd w:val="clear" w:color="auto" w:fill="E8EEF5"/>
          </w:tcPr>
          <w:p>
            <w:pPr>
              <w:jc w:val="center"/>
            </w:pPr>
            <w:r>
              <w:rPr>
                <w:sz w:val="18"/>
              </w:rPr>
              <w:t>0.943</w:t>
            </w:r>
          </w:p>
        </w:tc>
        <w:tc>
          <w:tcPr>
            <w:tcW w:type="dxa" w:w="1275"/>
            <w:shd w:val="clear" w:color="auto" w:fill="E8EEF5"/>
          </w:tcPr>
          <w:p>
            <w:pPr>
              <w:jc w:val="center"/>
            </w:pPr>
            <w:r>
              <w:rPr>
                <w:sz w:val="18"/>
              </w:rPr>
              <w:t>0.85</w:t>
            </w:r>
          </w:p>
        </w:tc>
        <w:tc>
          <w:tcPr>
            <w:tcW w:type="dxa" w:w="1275"/>
            <w:shd w:val="clear" w:color="auto" w:fill="E8EEF5"/>
          </w:tcPr>
          <w:p>
            <w:pPr>
              <w:jc w:val="center"/>
            </w:pPr>
            <w:r>
              <w:rPr>
                <w:sz w:val="18"/>
              </w:rPr>
              <w:t>0.147</w:t>
            </w:r>
          </w:p>
        </w:tc>
      </w:tr>
    </w:tbl>
    <w:p>
      <w:pPr>
        <w:spacing w:before="80"/>
        <w:jc w:val="center"/>
      </w:pPr>
      <w:r>
        <w:rPr>
          <w:i/>
          <w:color w:val="2E3A59"/>
          <w:sz w:val="18"/>
        </w:rPr>
        <w:t>Table 2  —  Hybrid Exact-DP results. Note the sharp dip at merge_size=40 (bolded).</w:t>
      </w:r>
    </w:p>
    <w:p/>
    <w:p>
      <w:pPr>
        <w:pStyle w:val="Heading2"/>
        <w:spacing w:before="160" w:after="80"/>
      </w:pPr>
      <w:r>
        <w:rPr>
          <w:color w:val="2E3A59"/>
        </w:rPr>
        <w:t>3.2  Hybrid Greedy-Ratio</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275"/>
            <w:shd w:val="clear" w:color="auto" w:fill="1A234E"/>
          </w:tcPr>
          <w:p>
            <w:pPr>
              <w:jc w:val="center"/>
            </w:pPr>
            <w:r>
              <w:rPr>
                <w:b/>
                <w:color w:val="FFFFFF"/>
                <w:sz w:val="18"/>
              </w:rPr>
              <w:t>Merge</w:t>
            </w:r>
          </w:p>
        </w:tc>
        <w:tc>
          <w:tcPr>
            <w:tcW w:type="dxa" w:w="1275"/>
            <w:shd w:val="clear" w:color="auto" w:fill="1A234E"/>
          </w:tcPr>
          <w:p>
            <w:pPr>
              <w:jc w:val="center"/>
            </w:pPr>
            <w:r>
              <w:rPr>
                <w:b/>
                <w:color w:val="FFFFFF"/>
                <w:sz w:val="18"/>
              </w:rPr>
              <w:t>Budget</w:t>
            </w:r>
          </w:p>
        </w:tc>
        <w:tc>
          <w:tcPr>
            <w:tcW w:type="dxa" w:w="1275"/>
            <w:shd w:val="clear" w:color="auto" w:fill="1A234E"/>
          </w:tcPr>
          <w:p>
            <w:pPr>
              <w:jc w:val="center"/>
            </w:pPr>
            <w:r>
              <w:rPr>
                <w:b/>
                <w:color w:val="FFFFFF"/>
                <w:sz w:val="18"/>
              </w:rPr>
              <w:t>Runtime (s)</w:t>
            </w:r>
          </w:p>
        </w:tc>
        <w:tc>
          <w:tcPr>
            <w:tcW w:type="dxa" w:w="1275"/>
            <w:shd w:val="clear" w:color="auto" w:fill="1A234E"/>
          </w:tcPr>
          <w:p>
            <w:pPr>
              <w:jc w:val="center"/>
            </w:pPr>
            <w:r>
              <w:rPr>
                <w:b/>
                <w:color w:val="FFFFFF"/>
                <w:sz w:val="18"/>
              </w:rPr>
              <w:t>Utility</w:t>
            </w:r>
          </w:p>
        </w:tc>
        <w:tc>
          <w:tcPr>
            <w:tcW w:type="dxa" w:w="1275"/>
            <w:shd w:val="clear" w:color="auto" w:fill="1A234E"/>
          </w:tcPr>
          <w:p>
            <w:pPr>
              <w:jc w:val="center"/>
            </w:pPr>
            <w:r>
              <w:rPr>
                <w:b/>
                <w:color w:val="FFFFFF"/>
                <w:sz w:val="18"/>
              </w:rPr>
              <w:t>Support Recall</w:t>
            </w:r>
          </w:p>
        </w:tc>
        <w:tc>
          <w:tcPr>
            <w:tcW w:type="dxa" w:w="1275"/>
            <w:shd w:val="clear" w:color="auto" w:fill="1A234E"/>
          </w:tcPr>
          <w:p>
            <w:pPr>
              <w:jc w:val="center"/>
            </w:pPr>
            <w:r>
              <w:rPr>
                <w:b/>
                <w:color w:val="FFFFFF"/>
                <w:sz w:val="18"/>
              </w:rPr>
              <w:t>Exact Cov.</w:t>
            </w:r>
          </w:p>
        </w:tc>
        <w:tc>
          <w:tcPr>
            <w:tcW w:type="dxa" w:w="1275"/>
            <w:shd w:val="clear" w:color="auto" w:fill="1A234E"/>
          </w:tcPr>
          <w:p>
            <w:pPr>
              <w:jc w:val="center"/>
            </w:pPr>
            <w:r>
              <w:rPr>
                <w:b/>
                <w:color w:val="FFFFFF"/>
                <w:sz w:val="18"/>
              </w:rPr>
              <w:t>Comp. Ratio</w:t>
            </w:r>
          </w:p>
        </w:tc>
      </w:tr>
      <w:tr>
        <w:tc>
          <w:tcPr>
            <w:tcW w:type="dxa" w:w="1275"/>
            <w:shd w:val="clear" w:color="auto" w:fill="E8EEF5"/>
          </w:tcPr>
          <w:p>
            <w:pPr>
              <w:jc w:val="center"/>
            </w:pPr>
            <w:r>
              <w:rPr>
                <w:sz w:val="18"/>
              </w:rPr>
              <w:t>10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0.0006</w:t>
            </w:r>
          </w:p>
        </w:tc>
        <w:tc>
          <w:tcPr>
            <w:tcW w:type="dxa" w:w="1275"/>
            <w:shd w:val="clear" w:color="auto" w:fill="E8EEF5"/>
          </w:tcPr>
          <w:p>
            <w:pPr>
              <w:jc w:val="center"/>
            </w:pPr>
            <w:r>
              <w:rPr>
                <w:sz w:val="18"/>
              </w:rPr>
              <w:t>44.10</w:t>
            </w:r>
          </w:p>
        </w:tc>
        <w:tc>
          <w:tcPr>
            <w:tcW w:type="dxa" w:w="1275"/>
            <w:shd w:val="clear" w:color="auto" w:fill="E8EEF5"/>
          </w:tcPr>
          <w:p>
            <w:pPr>
              <w:jc w:val="center"/>
            </w:pPr>
            <w:r>
              <w:rPr>
                <w:sz w:val="18"/>
              </w:rPr>
              <w:t>0.863</w:t>
            </w:r>
          </w:p>
        </w:tc>
        <w:tc>
          <w:tcPr>
            <w:tcW w:type="dxa" w:w="1275"/>
            <w:shd w:val="clear" w:color="auto" w:fill="E8EEF5"/>
          </w:tcPr>
          <w:p>
            <w:pPr>
              <w:jc w:val="center"/>
            </w:pPr>
            <w:r>
              <w:rPr>
                <w:sz w:val="18"/>
              </w:rPr>
              <w:t>0.75</w:t>
            </w:r>
          </w:p>
        </w:tc>
        <w:tc>
          <w:tcPr>
            <w:tcW w:type="dxa" w:w="1275"/>
            <w:shd w:val="clear" w:color="auto" w:fill="E8EEF5"/>
          </w:tcPr>
          <w:p>
            <w:pPr>
              <w:jc w:val="center"/>
            </w:pPr>
            <w:r>
              <w:rPr>
                <w:sz w:val="18"/>
              </w:rPr>
              <w:t>0.181</w:t>
            </w:r>
          </w:p>
        </w:tc>
      </w:tr>
      <w:tr>
        <w:tc>
          <w:tcPr>
            <w:tcW w:type="dxa" w:w="1275"/>
            <w:shd w:val="clear" w:color="auto" w:fill="FFFFFF"/>
          </w:tcPr>
          <w:p>
            <w:pPr>
              <w:jc w:val="center"/>
            </w:pPr>
            <w:r>
              <w:rPr>
                <w:sz w:val="18"/>
              </w:rPr>
              <w:t>10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0.0005</w:t>
            </w:r>
          </w:p>
        </w:tc>
        <w:tc>
          <w:tcPr>
            <w:tcW w:type="dxa" w:w="1275"/>
            <w:shd w:val="clear" w:color="auto" w:fill="FFFFFF"/>
          </w:tcPr>
          <w:p>
            <w:pPr>
              <w:jc w:val="center"/>
            </w:pPr>
            <w:r>
              <w:rPr>
                <w:sz w:val="18"/>
              </w:rPr>
              <w:t>63.54</w:t>
            </w:r>
          </w:p>
        </w:tc>
        <w:tc>
          <w:tcPr>
            <w:tcW w:type="dxa" w:w="1275"/>
            <w:shd w:val="clear" w:color="auto" w:fill="FFFFFF"/>
          </w:tcPr>
          <w:p>
            <w:pPr>
              <w:jc w:val="center"/>
            </w:pPr>
            <w:r>
              <w:rPr>
                <w:sz w:val="18"/>
              </w:rPr>
              <w:t>0.940</w:t>
            </w:r>
          </w:p>
        </w:tc>
        <w:tc>
          <w:tcPr>
            <w:tcW w:type="dxa" w:w="1275"/>
            <w:shd w:val="clear" w:color="auto" w:fill="FFFFFF"/>
          </w:tcPr>
          <w:p>
            <w:pPr>
              <w:jc w:val="center"/>
            </w:pPr>
            <w:r>
              <w:rPr>
                <w:sz w:val="18"/>
              </w:rPr>
              <w:t>0.85</w:t>
            </w:r>
          </w:p>
        </w:tc>
        <w:tc>
          <w:tcPr>
            <w:tcW w:type="dxa" w:w="1275"/>
            <w:shd w:val="clear" w:color="auto" w:fill="FFFFFF"/>
          </w:tcPr>
          <w:p>
            <w:pPr>
              <w:jc w:val="center"/>
            </w:pPr>
            <w:r>
              <w:rPr>
                <w:sz w:val="18"/>
              </w:rPr>
              <w:t>0.363</w:t>
            </w:r>
          </w:p>
        </w:tc>
      </w:tr>
      <w:tr>
        <w:tc>
          <w:tcPr>
            <w:tcW w:type="dxa" w:w="1275"/>
            <w:shd w:val="clear" w:color="auto" w:fill="E8EEF5"/>
          </w:tcPr>
          <w:p>
            <w:pPr>
              <w:jc w:val="center"/>
            </w:pPr>
            <w:r>
              <w:rPr>
                <w:sz w:val="18"/>
              </w:rPr>
              <w:t>10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0.0005</w:t>
            </w:r>
          </w:p>
        </w:tc>
        <w:tc>
          <w:tcPr>
            <w:tcW w:type="dxa" w:w="1275"/>
            <w:shd w:val="clear" w:color="auto" w:fill="E8EEF5"/>
          </w:tcPr>
          <w:p>
            <w:pPr>
              <w:jc w:val="center"/>
            </w:pPr>
            <w:r>
              <w:rPr>
                <w:sz w:val="18"/>
              </w:rPr>
              <w:t>87.55</w:t>
            </w:r>
          </w:p>
        </w:tc>
        <w:tc>
          <w:tcPr>
            <w:tcW w:type="dxa" w:w="1275"/>
            <w:shd w:val="clear" w:color="auto" w:fill="E8EEF5"/>
          </w:tcPr>
          <w:p>
            <w:pPr>
              <w:jc w:val="center"/>
            </w:pPr>
            <w:r>
              <w:rPr>
                <w:sz w:val="18"/>
              </w:rPr>
              <w:t>1.000</w:t>
            </w:r>
          </w:p>
        </w:tc>
        <w:tc>
          <w:tcPr>
            <w:tcW w:type="dxa" w:w="1275"/>
            <w:shd w:val="clear" w:color="auto" w:fill="E8EEF5"/>
          </w:tcPr>
          <w:p>
            <w:pPr>
              <w:jc w:val="center"/>
            </w:pPr>
            <w:r>
              <w:rPr>
                <w:sz w:val="18"/>
              </w:rPr>
              <w:t>1.00</w:t>
            </w:r>
          </w:p>
        </w:tc>
        <w:tc>
          <w:tcPr>
            <w:tcW w:type="dxa" w:w="1275"/>
            <w:shd w:val="clear" w:color="auto" w:fill="E8EEF5"/>
          </w:tcPr>
          <w:p>
            <w:pPr>
              <w:jc w:val="center"/>
            </w:pPr>
            <w:r>
              <w:rPr>
                <w:sz w:val="18"/>
              </w:rPr>
              <w:t>0.726</w:t>
            </w:r>
          </w:p>
        </w:tc>
      </w:tr>
      <w:tr>
        <w:tc>
          <w:tcPr>
            <w:tcW w:type="dxa" w:w="1275"/>
            <w:shd w:val="clear" w:color="auto" w:fill="FFFFFF"/>
          </w:tcPr>
          <w:p>
            <w:pPr>
              <w:jc w:val="center"/>
            </w:pPr>
            <w:r>
              <w:rPr>
                <w:sz w:val="18"/>
              </w:rPr>
              <w:t>20</w:t>
            </w:r>
          </w:p>
        </w:tc>
        <w:tc>
          <w:tcPr>
            <w:tcW w:type="dxa" w:w="1275"/>
            <w:shd w:val="clear" w:color="auto" w:fill="FFFFFF"/>
          </w:tcPr>
          <w:p>
            <w:pPr>
              <w:jc w:val="center"/>
            </w:pPr>
            <w:r>
              <w:rPr>
                <w:sz w:val="18"/>
              </w:rPr>
              <w:t>2,000</w:t>
            </w:r>
          </w:p>
        </w:tc>
        <w:tc>
          <w:tcPr>
            <w:tcW w:type="dxa" w:w="1275"/>
            <w:shd w:val="clear" w:color="auto" w:fill="FFFFFF"/>
          </w:tcPr>
          <w:p>
            <w:pPr>
              <w:jc w:val="center"/>
            </w:pPr>
            <w:r>
              <w:rPr>
                <w:sz w:val="18"/>
              </w:rPr>
              <w:t>0.0009</w:t>
            </w:r>
          </w:p>
        </w:tc>
        <w:tc>
          <w:tcPr>
            <w:tcW w:type="dxa" w:w="1275"/>
            <w:shd w:val="clear" w:color="auto" w:fill="FFFFFF"/>
          </w:tcPr>
          <w:p>
            <w:pPr>
              <w:jc w:val="center"/>
            </w:pPr>
            <w:r>
              <w:rPr>
                <w:sz w:val="18"/>
              </w:rPr>
              <w:t>63.16</w:t>
            </w:r>
          </w:p>
        </w:tc>
        <w:tc>
          <w:tcPr>
            <w:tcW w:type="dxa" w:w="1275"/>
            <w:shd w:val="clear" w:color="auto" w:fill="FFFFFF"/>
          </w:tcPr>
          <w:p>
            <w:pPr>
              <w:jc w:val="center"/>
            </w:pPr>
            <w:r>
              <w:rPr>
                <w:sz w:val="18"/>
              </w:rPr>
              <w:t>0.833</w:t>
            </w:r>
          </w:p>
        </w:tc>
        <w:tc>
          <w:tcPr>
            <w:tcW w:type="dxa" w:w="1275"/>
            <w:shd w:val="clear" w:color="auto" w:fill="FFFFFF"/>
          </w:tcPr>
          <w:p>
            <w:pPr>
              <w:jc w:val="center"/>
            </w:pPr>
            <w:r>
              <w:rPr>
                <w:sz w:val="18"/>
              </w:rPr>
              <w:t>0.65</w:t>
            </w:r>
          </w:p>
        </w:tc>
        <w:tc>
          <w:tcPr>
            <w:tcW w:type="dxa" w:w="1275"/>
            <w:shd w:val="clear" w:color="auto" w:fill="FFFFFF"/>
          </w:tcPr>
          <w:p>
            <w:pPr>
              <w:jc w:val="center"/>
            </w:pPr>
            <w:r>
              <w:rPr>
                <w:sz w:val="18"/>
              </w:rPr>
              <w:t>0.090</w:t>
            </w:r>
          </w:p>
        </w:tc>
      </w:tr>
      <w:tr>
        <w:tc>
          <w:tcPr>
            <w:tcW w:type="dxa" w:w="1275"/>
            <w:shd w:val="clear" w:color="auto" w:fill="E8EEF5"/>
          </w:tcPr>
          <w:p>
            <w:pPr>
              <w:jc w:val="center"/>
            </w:pPr>
            <w:r>
              <w:rPr>
                <w:sz w:val="18"/>
              </w:rPr>
              <w:t>20</w:t>
            </w:r>
          </w:p>
        </w:tc>
        <w:tc>
          <w:tcPr>
            <w:tcW w:type="dxa" w:w="1275"/>
            <w:shd w:val="clear" w:color="auto" w:fill="E8EEF5"/>
          </w:tcPr>
          <w:p>
            <w:pPr>
              <w:jc w:val="center"/>
            </w:pPr>
            <w:r>
              <w:rPr>
                <w:sz w:val="18"/>
              </w:rPr>
              <w:t>4,000</w:t>
            </w:r>
          </w:p>
        </w:tc>
        <w:tc>
          <w:tcPr>
            <w:tcW w:type="dxa" w:w="1275"/>
            <w:shd w:val="clear" w:color="auto" w:fill="E8EEF5"/>
          </w:tcPr>
          <w:p>
            <w:pPr>
              <w:jc w:val="center"/>
            </w:pPr>
            <w:r>
              <w:rPr>
                <w:sz w:val="18"/>
              </w:rPr>
              <w:t>0.0008</w:t>
            </w:r>
          </w:p>
        </w:tc>
        <w:tc>
          <w:tcPr>
            <w:tcW w:type="dxa" w:w="1275"/>
            <w:shd w:val="clear" w:color="auto" w:fill="E8EEF5"/>
          </w:tcPr>
          <w:p>
            <w:pPr>
              <w:jc w:val="center"/>
            </w:pPr>
            <w:r>
              <w:rPr>
                <w:sz w:val="18"/>
              </w:rPr>
              <w:t>93.84</w:t>
            </w:r>
          </w:p>
        </w:tc>
        <w:tc>
          <w:tcPr>
            <w:tcW w:type="dxa" w:w="1275"/>
            <w:shd w:val="clear" w:color="auto" w:fill="E8EEF5"/>
          </w:tcPr>
          <w:p>
            <w:pPr>
              <w:jc w:val="center"/>
            </w:pPr>
            <w:r>
              <w:rPr>
                <w:sz w:val="18"/>
              </w:rPr>
              <w:t>0.963</w:t>
            </w:r>
          </w:p>
        </w:tc>
        <w:tc>
          <w:tcPr>
            <w:tcW w:type="dxa" w:w="1275"/>
            <w:shd w:val="clear" w:color="auto" w:fill="E8EEF5"/>
          </w:tcPr>
          <w:p>
            <w:pPr>
              <w:jc w:val="center"/>
            </w:pPr>
            <w:r>
              <w:rPr>
                <w:sz w:val="18"/>
              </w:rPr>
              <w:t>0.90</w:t>
            </w:r>
          </w:p>
        </w:tc>
        <w:tc>
          <w:tcPr>
            <w:tcW w:type="dxa" w:w="1275"/>
            <w:shd w:val="clear" w:color="auto" w:fill="E8EEF5"/>
          </w:tcPr>
          <w:p>
            <w:pPr>
              <w:jc w:val="center"/>
            </w:pPr>
            <w:r>
              <w:rPr>
                <w:sz w:val="18"/>
              </w:rPr>
              <w:t>0.181</w:t>
            </w:r>
          </w:p>
        </w:tc>
      </w:tr>
      <w:tr>
        <w:tc>
          <w:tcPr>
            <w:tcW w:type="dxa" w:w="1275"/>
            <w:shd w:val="clear" w:color="auto" w:fill="FFFFFF"/>
          </w:tcPr>
          <w:p>
            <w:pPr>
              <w:jc w:val="center"/>
            </w:pPr>
            <w:r>
              <w:rPr>
                <w:sz w:val="18"/>
              </w:rPr>
              <w:t>20</w:t>
            </w:r>
          </w:p>
        </w:tc>
        <w:tc>
          <w:tcPr>
            <w:tcW w:type="dxa" w:w="1275"/>
            <w:shd w:val="clear" w:color="auto" w:fill="FFFFFF"/>
          </w:tcPr>
          <w:p>
            <w:pPr>
              <w:jc w:val="center"/>
            </w:pPr>
            <w:r>
              <w:rPr>
                <w:sz w:val="18"/>
              </w:rPr>
              <w:t>8,000</w:t>
            </w:r>
          </w:p>
        </w:tc>
        <w:tc>
          <w:tcPr>
            <w:tcW w:type="dxa" w:w="1275"/>
            <w:shd w:val="clear" w:color="auto" w:fill="FFFFFF"/>
          </w:tcPr>
          <w:p>
            <w:pPr>
              <w:jc w:val="center"/>
            </w:pPr>
            <w:r>
              <w:rPr>
                <w:sz w:val="18"/>
              </w:rPr>
              <w:t>0.0009</w:t>
            </w:r>
          </w:p>
        </w:tc>
        <w:tc>
          <w:tcPr>
            <w:tcW w:type="dxa" w:w="1275"/>
            <w:shd w:val="clear" w:color="auto" w:fill="FFFFFF"/>
          </w:tcPr>
          <w:p>
            <w:pPr>
              <w:jc w:val="center"/>
            </w:pPr>
            <w:r>
              <w:rPr>
                <w:sz w:val="18"/>
              </w:rPr>
              <w:t>136.98</w:t>
            </w:r>
          </w:p>
        </w:tc>
        <w:tc>
          <w:tcPr>
            <w:tcW w:type="dxa" w:w="1275"/>
            <w:shd w:val="clear" w:color="auto" w:fill="FFFFFF"/>
          </w:tcPr>
          <w:p>
            <w:pPr>
              <w:jc w:val="center"/>
            </w:pPr>
            <w:r>
              <w:rPr>
                <w:sz w:val="18"/>
              </w:rPr>
              <w:t>1.000</w:t>
            </w:r>
          </w:p>
        </w:tc>
        <w:tc>
          <w:tcPr>
            <w:tcW w:type="dxa" w:w="1275"/>
            <w:shd w:val="clear" w:color="auto" w:fill="FFFFFF"/>
          </w:tcPr>
          <w:p>
            <w:pPr>
              <w:jc w:val="center"/>
            </w:pPr>
            <w:r>
              <w:rPr>
                <w:sz w:val="18"/>
              </w:rPr>
              <w:t>1.00</w:t>
            </w:r>
          </w:p>
        </w:tc>
        <w:tc>
          <w:tcPr>
            <w:tcW w:type="dxa" w:w="1275"/>
            <w:shd w:val="clear" w:color="auto" w:fill="FFFFFF"/>
          </w:tcPr>
          <w:p>
            <w:pPr>
              <w:jc w:val="center"/>
            </w:pPr>
            <w:r>
              <w:rPr>
                <w:sz w:val="18"/>
              </w:rPr>
              <w:t>0.362</w:t>
            </w:r>
          </w:p>
        </w:tc>
      </w:tr>
      <w:tr>
        <w:tc>
          <w:tcPr>
            <w:tcW w:type="dxa" w:w="1275"/>
            <w:shd w:val="clear" w:color="auto" w:fill="E8EEF5"/>
          </w:tcPr>
          <w:p>
            <w:pPr>
              <w:jc w:val="center"/>
            </w:pPr>
            <w:r>
              <w:rPr>
                <w:sz w:val="18"/>
              </w:rPr>
              <w:t>30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0.0012</w:t>
            </w:r>
          </w:p>
        </w:tc>
        <w:tc>
          <w:tcPr>
            <w:tcW w:type="dxa" w:w="1275"/>
            <w:shd w:val="clear" w:color="auto" w:fill="E8EEF5"/>
          </w:tcPr>
          <w:p>
            <w:pPr>
              <w:jc w:val="center"/>
            </w:pPr>
            <w:r>
              <w:rPr>
                <w:sz w:val="18"/>
              </w:rPr>
              <w:t>72.20</w:t>
            </w:r>
          </w:p>
        </w:tc>
        <w:tc>
          <w:tcPr>
            <w:tcW w:type="dxa" w:w="1275"/>
            <w:shd w:val="clear" w:color="auto" w:fill="E8EEF5"/>
          </w:tcPr>
          <w:p>
            <w:pPr>
              <w:jc w:val="center"/>
            </w:pPr>
            <w:r>
              <w:rPr>
                <w:sz w:val="18"/>
              </w:rPr>
              <w:t>0.838</w:t>
            </w:r>
          </w:p>
        </w:tc>
        <w:tc>
          <w:tcPr>
            <w:tcW w:type="dxa" w:w="1275"/>
            <w:shd w:val="clear" w:color="auto" w:fill="E8EEF5"/>
          </w:tcPr>
          <w:p>
            <w:pPr>
              <w:jc w:val="center"/>
            </w:pPr>
            <w:r>
              <w:rPr>
                <w:sz w:val="18"/>
              </w:rPr>
              <w:t>0.65</w:t>
            </w:r>
          </w:p>
        </w:tc>
        <w:tc>
          <w:tcPr>
            <w:tcW w:type="dxa" w:w="1275"/>
            <w:shd w:val="clear" w:color="auto" w:fill="E8EEF5"/>
          </w:tcPr>
          <w:p>
            <w:pPr>
              <w:jc w:val="center"/>
            </w:pPr>
            <w:r>
              <w:rPr>
                <w:sz w:val="18"/>
              </w:rPr>
              <w:t>0.061</w:t>
            </w:r>
          </w:p>
        </w:tc>
      </w:tr>
      <w:tr>
        <w:tc>
          <w:tcPr>
            <w:tcW w:type="dxa" w:w="1275"/>
            <w:shd w:val="clear" w:color="auto" w:fill="FFFFFF"/>
          </w:tcPr>
          <w:p>
            <w:pPr>
              <w:jc w:val="center"/>
            </w:pPr>
            <w:r>
              <w:rPr>
                <w:sz w:val="18"/>
              </w:rPr>
              <w:t>30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0.0010</w:t>
            </w:r>
          </w:p>
        </w:tc>
        <w:tc>
          <w:tcPr>
            <w:tcW w:type="dxa" w:w="1275"/>
            <w:shd w:val="clear" w:color="auto" w:fill="FFFFFF"/>
          </w:tcPr>
          <w:p>
            <w:pPr>
              <w:jc w:val="center"/>
            </w:pPr>
            <w:r>
              <w:rPr>
                <w:sz w:val="18"/>
              </w:rPr>
              <w:t>106.85</w:t>
            </w:r>
          </w:p>
        </w:tc>
        <w:tc>
          <w:tcPr>
            <w:tcW w:type="dxa" w:w="1275"/>
            <w:shd w:val="clear" w:color="auto" w:fill="FFFFFF"/>
          </w:tcPr>
          <w:p>
            <w:pPr>
              <w:jc w:val="center"/>
            </w:pPr>
            <w:r>
              <w:rPr>
                <w:sz w:val="18"/>
              </w:rPr>
              <w:t>0.879</w:t>
            </w:r>
          </w:p>
        </w:tc>
        <w:tc>
          <w:tcPr>
            <w:tcW w:type="dxa" w:w="1275"/>
            <w:shd w:val="clear" w:color="auto" w:fill="FFFFFF"/>
          </w:tcPr>
          <w:p>
            <w:pPr>
              <w:jc w:val="center"/>
            </w:pPr>
            <w:r>
              <w:rPr>
                <w:sz w:val="18"/>
              </w:rPr>
              <w:t>0.70</w:t>
            </w:r>
          </w:p>
        </w:tc>
        <w:tc>
          <w:tcPr>
            <w:tcW w:type="dxa" w:w="1275"/>
            <w:shd w:val="clear" w:color="auto" w:fill="FFFFFF"/>
          </w:tcPr>
          <w:p>
            <w:pPr>
              <w:jc w:val="center"/>
            </w:pPr>
            <w:r>
              <w:rPr>
                <w:sz w:val="18"/>
              </w:rPr>
              <w:t>0.121</w:t>
            </w:r>
          </w:p>
        </w:tc>
      </w:tr>
      <w:tr>
        <w:tc>
          <w:tcPr>
            <w:tcW w:type="dxa" w:w="1275"/>
            <w:shd w:val="clear" w:color="auto" w:fill="E8EEF5"/>
          </w:tcPr>
          <w:p>
            <w:pPr>
              <w:jc w:val="center"/>
            </w:pPr>
            <w:r>
              <w:rPr>
                <w:sz w:val="18"/>
              </w:rPr>
              <w:t>30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0.0011</w:t>
            </w:r>
          </w:p>
        </w:tc>
        <w:tc>
          <w:tcPr>
            <w:tcW w:type="dxa" w:w="1275"/>
            <w:shd w:val="clear" w:color="auto" w:fill="E8EEF5"/>
          </w:tcPr>
          <w:p>
            <w:pPr>
              <w:jc w:val="center"/>
            </w:pPr>
            <w:r>
              <w:rPr>
                <w:sz w:val="18"/>
              </w:rPr>
              <w:t>158.50</w:t>
            </w:r>
          </w:p>
        </w:tc>
        <w:tc>
          <w:tcPr>
            <w:tcW w:type="dxa" w:w="1275"/>
            <w:shd w:val="clear" w:color="auto" w:fill="E8EEF5"/>
          </w:tcPr>
          <w:p>
            <w:pPr>
              <w:jc w:val="center"/>
            </w:pPr>
            <w:r>
              <w:rPr>
                <w:sz w:val="18"/>
              </w:rPr>
              <w:t>0.942</w:t>
            </w:r>
          </w:p>
        </w:tc>
        <w:tc>
          <w:tcPr>
            <w:tcW w:type="dxa" w:w="1275"/>
            <w:shd w:val="clear" w:color="auto" w:fill="E8EEF5"/>
          </w:tcPr>
          <w:p>
            <w:pPr>
              <w:jc w:val="center"/>
            </w:pPr>
            <w:r>
              <w:rPr>
                <w:sz w:val="18"/>
              </w:rPr>
              <w:t>0.85</w:t>
            </w:r>
          </w:p>
        </w:tc>
        <w:tc>
          <w:tcPr>
            <w:tcW w:type="dxa" w:w="1275"/>
            <w:shd w:val="clear" w:color="auto" w:fill="E8EEF5"/>
          </w:tcPr>
          <w:p>
            <w:pPr>
              <w:jc w:val="center"/>
            </w:pPr>
            <w:r>
              <w:rPr>
                <w:sz w:val="18"/>
              </w:rPr>
              <w:t>0.243</w:t>
            </w:r>
          </w:p>
        </w:tc>
      </w:tr>
      <w:tr>
        <w:tc>
          <w:tcPr>
            <w:tcW w:type="dxa" w:w="1275"/>
            <w:shd w:val="clear" w:color="auto" w:fill="FFFFFF"/>
          </w:tcPr>
          <w:p>
            <w:pPr>
              <w:jc w:val="center"/>
            </w:pPr>
            <w:r>
              <w:rPr>
                <w:sz w:val="18"/>
              </w:rPr>
              <w:t>40</w:t>
            </w:r>
          </w:p>
        </w:tc>
        <w:tc>
          <w:tcPr>
            <w:tcW w:type="dxa" w:w="1275"/>
            <w:shd w:val="clear" w:color="auto" w:fill="FFFFFF"/>
          </w:tcPr>
          <w:p>
            <w:pPr>
              <w:jc w:val="center"/>
            </w:pPr>
            <w:r>
              <w:rPr>
                <w:sz w:val="18"/>
              </w:rPr>
              <w:t>2,000</w:t>
            </w:r>
          </w:p>
        </w:tc>
        <w:tc>
          <w:tcPr>
            <w:tcW w:type="dxa" w:w="1275"/>
            <w:shd w:val="clear" w:color="auto" w:fill="FFFFFF"/>
          </w:tcPr>
          <w:p>
            <w:pPr>
              <w:jc w:val="center"/>
            </w:pPr>
            <w:r>
              <w:rPr>
                <w:sz w:val="18"/>
              </w:rPr>
              <w:t>0.0015</w:t>
            </w:r>
          </w:p>
        </w:tc>
        <w:tc>
          <w:tcPr>
            <w:tcW w:type="dxa" w:w="1275"/>
            <w:shd w:val="clear" w:color="auto" w:fill="FFFFFF"/>
          </w:tcPr>
          <w:p>
            <w:pPr>
              <w:jc w:val="center"/>
            </w:pPr>
            <w:r>
              <w:rPr>
                <w:sz w:val="18"/>
              </w:rPr>
              <w:t>83.70</w:t>
            </w:r>
          </w:p>
        </w:tc>
        <w:tc>
          <w:tcPr>
            <w:tcW w:type="dxa" w:w="1275"/>
            <w:shd w:val="clear" w:color="auto" w:fill="FFFFFF"/>
          </w:tcPr>
          <w:p>
            <w:pPr>
              <w:jc w:val="center"/>
            </w:pPr>
            <w:r>
              <w:rPr>
                <w:sz w:val="18"/>
              </w:rPr>
              <w:t>0.518</w:t>
            </w:r>
          </w:p>
        </w:tc>
        <w:tc>
          <w:tcPr>
            <w:tcW w:type="dxa" w:w="1275"/>
            <w:shd w:val="clear" w:color="auto" w:fill="FFFFFF"/>
          </w:tcPr>
          <w:p>
            <w:pPr>
              <w:jc w:val="center"/>
            </w:pPr>
            <w:r>
              <w:rPr>
                <w:sz w:val="18"/>
              </w:rPr>
              <w:t>0.20</w:t>
            </w:r>
          </w:p>
        </w:tc>
        <w:tc>
          <w:tcPr>
            <w:tcW w:type="dxa" w:w="1275"/>
            <w:shd w:val="clear" w:color="auto" w:fill="FFFFFF"/>
          </w:tcPr>
          <w:p>
            <w:pPr>
              <w:jc w:val="center"/>
            </w:pPr>
            <w:r>
              <w:rPr>
                <w:sz w:val="18"/>
              </w:rPr>
              <w:t>0.045</w:t>
            </w:r>
          </w:p>
        </w:tc>
      </w:tr>
      <w:tr>
        <w:tc>
          <w:tcPr>
            <w:tcW w:type="dxa" w:w="1275"/>
            <w:shd w:val="clear" w:color="auto" w:fill="E8EEF5"/>
          </w:tcPr>
          <w:p>
            <w:pPr>
              <w:jc w:val="center"/>
            </w:pPr>
            <w:r>
              <w:rPr>
                <w:sz w:val="18"/>
              </w:rPr>
              <w:t>40</w:t>
            </w:r>
          </w:p>
        </w:tc>
        <w:tc>
          <w:tcPr>
            <w:tcW w:type="dxa" w:w="1275"/>
            <w:shd w:val="clear" w:color="auto" w:fill="E8EEF5"/>
          </w:tcPr>
          <w:p>
            <w:pPr>
              <w:jc w:val="center"/>
            </w:pPr>
            <w:r>
              <w:rPr>
                <w:sz w:val="18"/>
              </w:rPr>
              <w:t>4,000</w:t>
            </w:r>
          </w:p>
        </w:tc>
        <w:tc>
          <w:tcPr>
            <w:tcW w:type="dxa" w:w="1275"/>
            <w:shd w:val="clear" w:color="auto" w:fill="E8EEF5"/>
          </w:tcPr>
          <w:p>
            <w:pPr>
              <w:jc w:val="center"/>
            </w:pPr>
            <w:r>
              <w:rPr>
                <w:sz w:val="18"/>
              </w:rPr>
              <w:t>0.0013</w:t>
            </w:r>
          </w:p>
        </w:tc>
        <w:tc>
          <w:tcPr>
            <w:tcW w:type="dxa" w:w="1275"/>
            <w:shd w:val="clear" w:color="auto" w:fill="E8EEF5"/>
          </w:tcPr>
          <w:p>
            <w:pPr>
              <w:jc w:val="center"/>
            </w:pPr>
            <w:r>
              <w:rPr>
                <w:sz w:val="18"/>
              </w:rPr>
              <w:t>123.32</w:t>
            </w:r>
          </w:p>
        </w:tc>
        <w:tc>
          <w:tcPr>
            <w:tcW w:type="dxa" w:w="1275"/>
            <w:shd w:val="clear" w:color="auto" w:fill="E8EEF5"/>
          </w:tcPr>
          <w:p>
            <w:pPr>
              <w:jc w:val="center"/>
            </w:pPr>
            <w:r>
              <w:rPr>
                <w:sz w:val="18"/>
              </w:rPr>
              <w:t>0.784</w:t>
            </w:r>
          </w:p>
        </w:tc>
        <w:tc>
          <w:tcPr>
            <w:tcW w:type="dxa" w:w="1275"/>
            <w:shd w:val="clear" w:color="auto" w:fill="E8EEF5"/>
          </w:tcPr>
          <w:p>
            <w:pPr>
              <w:jc w:val="center"/>
            </w:pPr>
            <w:r>
              <w:rPr>
                <w:sz w:val="18"/>
              </w:rPr>
              <w:t>0.50</w:t>
            </w:r>
          </w:p>
        </w:tc>
        <w:tc>
          <w:tcPr>
            <w:tcW w:type="dxa" w:w="1275"/>
            <w:shd w:val="clear" w:color="auto" w:fill="E8EEF5"/>
          </w:tcPr>
          <w:p>
            <w:pPr>
              <w:jc w:val="center"/>
            </w:pPr>
            <w:r>
              <w:rPr>
                <w:sz w:val="18"/>
              </w:rPr>
              <w:t>0.091</w:t>
            </w:r>
          </w:p>
        </w:tc>
      </w:tr>
      <w:tr>
        <w:tc>
          <w:tcPr>
            <w:tcW w:type="dxa" w:w="1275"/>
            <w:shd w:val="clear" w:color="auto" w:fill="FFFFFF"/>
          </w:tcPr>
          <w:p>
            <w:pPr>
              <w:jc w:val="center"/>
            </w:pPr>
            <w:r>
              <w:rPr>
                <w:sz w:val="18"/>
              </w:rPr>
              <w:t>40</w:t>
            </w:r>
          </w:p>
        </w:tc>
        <w:tc>
          <w:tcPr>
            <w:tcW w:type="dxa" w:w="1275"/>
            <w:shd w:val="clear" w:color="auto" w:fill="FFFFFF"/>
          </w:tcPr>
          <w:p>
            <w:pPr>
              <w:jc w:val="center"/>
            </w:pPr>
            <w:r>
              <w:rPr>
                <w:sz w:val="18"/>
              </w:rPr>
              <w:t>8,000</w:t>
            </w:r>
          </w:p>
        </w:tc>
        <w:tc>
          <w:tcPr>
            <w:tcW w:type="dxa" w:w="1275"/>
            <w:shd w:val="clear" w:color="auto" w:fill="FFFFFF"/>
          </w:tcPr>
          <w:p>
            <w:pPr>
              <w:jc w:val="center"/>
            </w:pPr>
            <w:r>
              <w:rPr>
                <w:sz w:val="18"/>
              </w:rPr>
              <w:t>0.0013</w:t>
            </w:r>
          </w:p>
        </w:tc>
        <w:tc>
          <w:tcPr>
            <w:tcW w:type="dxa" w:w="1275"/>
            <w:shd w:val="clear" w:color="auto" w:fill="FFFFFF"/>
          </w:tcPr>
          <w:p>
            <w:pPr>
              <w:jc w:val="center"/>
            </w:pPr>
            <w:r>
              <w:rPr>
                <w:sz w:val="18"/>
              </w:rPr>
              <w:t>182.87</w:t>
            </w:r>
          </w:p>
        </w:tc>
        <w:tc>
          <w:tcPr>
            <w:tcW w:type="dxa" w:w="1275"/>
            <w:shd w:val="clear" w:color="auto" w:fill="FFFFFF"/>
          </w:tcPr>
          <w:p>
            <w:pPr>
              <w:jc w:val="center"/>
            </w:pPr>
            <w:r>
              <w:rPr>
                <w:sz w:val="18"/>
              </w:rPr>
              <w:t>0.872</w:t>
            </w:r>
          </w:p>
        </w:tc>
        <w:tc>
          <w:tcPr>
            <w:tcW w:type="dxa" w:w="1275"/>
            <w:shd w:val="clear" w:color="auto" w:fill="FFFFFF"/>
          </w:tcPr>
          <w:p>
            <w:pPr>
              <w:jc w:val="center"/>
            </w:pPr>
            <w:r>
              <w:rPr>
                <w:sz w:val="18"/>
              </w:rPr>
              <w:t>0.70</w:t>
            </w:r>
          </w:p>
        </w:tc>
        <w:tc>
          <w:tcPr>
            <w:tcW w:type="dxa" w:w="1275"/>
            <w:shd w:val="clear" w:color="auto" w:fill="FFFFFF"/>
          </w:tcPr>
          <w:p>
            <w:pPr>
              <w:jc w:val="center"/>
            </w:pPr>
            <w:r>
              <w:rPr>
                <w:sz w:val="18"/>
              </w:rPr>
              <w:t>0.182</w:t>
            </w:r>
          </w:p>
        </w:tc>
      </w:tr>
      <w:tr>
        <w:tc>
          <w:tcPr>
            <w:tcW w:type="dxa" w:w="1275"/>
            <w:shd w:val="clear" w:color="auto" w:fill="E8EEF5"/>
          </w:tcPr>
          <w:p>
            <w:pPr>
              <w:jc w:val="center"/>
            </w:pPr>
            <w:r>
              <w:rPr>
                <w:sz w:val="18"/>
              </w:rPr>
              <w:t>50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0.0017</w:t>
            </w:r>
          </w:p>
        </w:tc>
        <w:tc>
          <w:tcPr>
            <w:tcW w:type="dxa" w:w="1275"/>
            <w:shd w:val="clear" w:color="auto" w:fill="E8EEF5"/>
          </w:tcPr>
          <w:p>
            <w:pPr>
              <w:jc w:val="center"/>
            </w:pPr>
            <w:r>
              <w:rPr>
                <w:sz w:val="18"/>
              </w:rPr>
              <w:t>88.42</w:t>
            </w:r>
          </w:p>
        </w:tc>
        <w:tc>
          <w:tcPr>
            <w:tcW w:type="dxa" w:w="1275"/>
            <w:shd w:val="clear" w:color="auto" w:fill="E8EEF5"/>
          </w:tcPr>
          <w:p>
            <w:pPr>
              <w:jc w:val="center"/>
            </w:pPr>
            <w:r>
              <w:rPr>
                <w:sz w:val="18"/>
              </w:rPr>
              <w:t>0.722</w:t>
            </w:r>
          </w:p>
        </w:tc>
        <w:tc>
          <w:tcPr>
            <w:tcW w:type="dxa" w:w="1275"/>
            <w:shd w:val="clear" w:color="auto" w:fill="E8EEF5"/>
          </w:tcPr>
          <w:p>
            <w:pPr>
              <w:jc w:val="center"/>
            </w:pPr>
            <w:r>
              <w:rPr>
                <w:sz w:val="18"/>
              </w:rPr>
              <w:t>0.45</w:t>
            </w:r>
          </w:p>
        </w:tc>
        <w:tc>
          <w:tcPr>
            <w:tcW w:type="dxa" w:w="1275"/>
            <w:shd w:val="clear" w:color="auto" w:fill="E8EEF5"/>
          </w:tcPr>
          <w:p>
            <w:pPr>
              <w:jc w:val="center"/>
            </w:pPr>
            <w:r>
              <w:rPr>
                <w:sz w:val="18"/>
              </w:rPr>
              <w:t>0.037</w:t>
            </w:r>
          </w:p>
        </w:tc>
      </w:tr>
      <w:tr>
        <w:tc>
          <w:tcPr>
            <w:tcW w:type="dxa" w:w="1275"/>
            <w:shd w:val="clear" w:color="auto" w:fill="FFFFFF"/>
          </w:tcPr>
          <w:p>
            <w:pPr>
              <w:jc w:val="center"/>
            </w:pPr>
            <w:r>
              <w:rPr>
                <w:sz w:val="18"/>
              </w:rPr>
              <w:t>50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0.0015</w:t>
            </w:r>
          </w:p>
        </w:tc>
        <w:tc>
          <w:tcPr>
            <w:tcW w:type="dxa" w:w="1275"/>
            <w:shd w:val="clear" w:color="auto" w:fill="FFFFFF"/>
          </w:tcPr>
          <w:p>
            <w:pPr>
              <w:jc w:val="center"/>
            </w:pPr>
            <w:r>
              <w:rPr>
                <w:sz w:val="18"/>
              </w:rPr>
              <w:t>129.71</w:t>
            </w:r>
          </w:p>
        </w:tc>
        <w:tc>
          <w:tcPr>
            <w:tcW w:type="dxa" w:w="1275"/>
            <w:shd w:val="clear" w:color="auto" w:fill="FFFFFF"/>
          </w:tcPr>
          <w:p>
            <w:pPr>
              <w:jc w:val="center"/>
            </w:pPr>
            <w:r>
              <w:rPr>
                <w:sz w:val="18"/>
              </w:rPr>
              <w:t>0.906</w:t>
            </w:r>
          </w:p>
        </w:tc>
        <w:tc>
          <w:tcPr>
            <w:tcW w:type="dxa" w:w="1275"/>
            <w:shd w:val="clear" w:color="auto" w:fill="FFFFFF"/>
          </w:tcPr>
          <w:p>
            <w:pPr>
              <w:jc w:val="center"/>
            </w:pPr>
            <w:r>
              <w:rPr>
                <w:sz w:val="18"/>
              </w:rPr>
              <w:t>0.80</w:t>
            </w:r>
          </w:p>
        </w:tc>
        <w:tc>
          <w:tcPr>
            <w:tcW w:type="dxa" w:w="1275"/>
            <w:shd w:val="clear" w:color="auto" w:fill="FFFFFF"/>
          </w:tcPr>
          <w:p>
            <w:pPr>
              <w:jc w:val="center"/>
            </w:pPr>
            <w:r>
              <w:rPr>
                <w:sz w:val="18"/>
              </w:rPr>
              <w:t>0.074</w:t>
            </w:r>
          </w:p>
        </w:tc>
      </w:tr>
      <w:tr>
        <w:tc>
          <w:tcPr>
            <w:tcW w:type="dxa" w:w="1275"/>
            <w:shd w:val="clear" w:color="auto" w:fill="E8EEF5"/>
          </w:tcPr>
          <w:p>
            <w:pPr>
              <w:jc w:val="center"/>
            </w:pPr>
            <w:r>
              <w:rPr>
                <w:sz w:val="18"/>
              </w:rPr>
              <w:t>50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0.0016</w:t>
            </w:r>
          </w:p>
        </w:tc>
        <w:tc>
          <w:tcPr>
            <w:tcW w:type="dxa" w:w="1275"/>
            <w:shd w:val="clear" w:color="auto" w:fill="E8EEF5"/>
          </w:tcPr>
          <w:p>
            <w:pPr>
              <w:jc w:val="center"/>
            </w:pPr>
            <w:r>
              <w:rPr>
                <w:sz w:val="18"/>
              </w:rPr>
              <w:t>192.55</w:t>
            </w:r>
          </w:p>
        </w:tc>
        <w:tc>
          <w:tcPr>
            <w:tcW w:type="dxa" w:w="1275"/>
            <w:shd w:val="clear" w:color="auto" w:fill="E8EEF5"/>
          </w:tcPr>
          <w:p>
            <w:pPr>
              <w:jc w:val="center"/>
            </w:pPr>
            <w:r>
              <w:rPr>
                <w:sz w:val="18"/>
              </w:rPr>
              <w:t>0.936</w:t>
            </w:r>
          </w:p>
        </w:tc>
        <w:tc>
          <w:tcPr>
            <w:tcW w:type="dxa" w:w="1275"/>
            <w:shd w:val="clear" w:color="auto" w:fill="E8EEF5"/>
          </w:tcPr>
          <w:p>
            <w:pPr>
              <w:jc w:val="center"/>
            </w:pPr>
            <w:r>
              <w:rPr>
                <w:sz w:val="18"/>
              </w:rPr>
              <w:t>0.85</w:t>
            </w:r>
          </w:p>
        </w:tc>
        <w:tc>
          <w:tcPr>
            <w:tcW w:type="dxa" w:w="1275"/>
            <w:shd w:val="clear" w:color="auto" w:fill="E8EEF5"/>
          </w:tcPr>
          <w:p>
            <w:pPr>
              <w:jc w:val="center"/>
            </w:pPr>
            <w:r>
              <w:rPr>
                <w:sz w:val="18"/>
              </w:rPr>
              <w:t>0.147</w:t>
            </w:r>
          </w:p>
        </w:tc>
      </w:tr>
    </w:tbl>
    <w:p>
      <w:pPr>
        <w:spacing w:before="80"/>
        <w:jc w:val="center"/>
      </w:pPr>
      <w:r>
        <w:rPr>
          <w:i/>
          <w:color w:val="2E3A59"/>
          <w:sz w:val="18"/>
        </w:rPr>
        <w:t>Table 3  —  Hybrid Greedy-Ratio results.</w:t>
      </w:r>
    </w:p>
    <w:p/>
    <w:p>
      <w:pPr>
        <w:pStyle w:val="Heading2"/>
        <w:spacing w:before="160" w:after="80"/>
      </w:pPr>
      <w:r>
        <w:rPr>
          <w:color w:val="2E3A59"/>
        </w:rPr>
        <w:t>3.3  Hybrid Greedy-Refine</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275"/>
            <w:shd w:val="clear" w:color="auto" w:fill="1A234E"/>
          </w:tcPr>
          <w:p>
            <w:pPr>
              <w:jc w:val="center"/>
            </w:pPr>
            <w:r>
              <w:rPr>
                <w:b/>
                <w:color w:val="FFFFFF"/>
                <w:sz w:val="18"/>
              </w:rPr>
              <w:t>Merge</w:t>
            </w:r>
          </w:p>
        </w:tc>
        <w:tc>
          <w:tcPr>
            <w:tcW w:type="dxa" w:w="1275"/>
            <w:shd w:val="clear" w:color="auto" w:fill="1A234E"/>
          </w:tcPr>
          <w:p>
            <w:pPr>
              <w:jc w:val="center"/>
            </w:pPr>
            <w:r>
              <w:rPr>
                <w:b/>
                <w:color w:val="FFFFFF"/>
                <w:sz w:val="18"/>
              </w:rPr>
              <w:t>Budget</w:t>
            </w:r>
          </w:p>
        </w:tc>
        <w:tc>
          <w:tcPr>
            <w:tcW w:type="dxa" w:w="1275"/>
            <w:shd w:val="clear" w:color="auto" w:fill="1A234E"/>
          </w:tcPr>
          <w:p>
            <w:pPr>
              <w:jc w:val="center"/>
            </w:pPr>
            <w:r>
              <w:rPr>
                <w:b/>
                <w:color w:val="FFFFFF"/>
                <w:sz w:val="18"/>
              </w:rPr>
              <w:t>Runtime (s)</w:t>
            </w:r>
          </w:p>
        </w:tc>
        <w:tc>
          <w:tcPr>
            <w:tcW w:type="dxa" w:w="1275"/>
            <w:shd w:val="clear" w:color="auto" w:fill="1A234E"/>
          </w:tcPr>
          <w:p>
            <w:pPr>
              <w:jc w:val="center"/>
            </w:pPr>
            <w:r>
              <w:rPr>
                <w:b/>
                <w:color w:val="FFFFFF"/>
                <w:sz w:val="18"/>
              </w:rPr>
              <w:t>Utility</w:t>
            </w:r>
          </w:p>
        </w:tc>
        <w:tc>
          <w:tcPr>
            <w:tcW w:type="dxa" w:w="1275"/>
            <w:shd w:val="clear" w:color="auto" w:fill="1A234E"/>
          </w:tcPr>
          <w:p>
            <w:pPr>
              <w:jc w:val="center"/>
            </w:pPr>
            <w:r>
              <w:rPr>
                <w:b/>
                <w:color w:val="FFFFFF"/>
                <w:sz w:val="18"/>
              </w:rPr>
              <w:t>Support Recall</w:t>
            </w:r>
          </w:p>
        </w:tc>
        <w:tc>
          <w:tcPr>
            <w:tcW w:type="dxa" w:w="1275"/>
            <w:shd w:val="clear" w:color="auto" w:fill="1A234E"/>
          </w:tcPr>
          <w:p>
            <w:pPr>
              <w:jc w:val="center"/>
            </w:pPr>
            <w:r>
              <w:rPr>
                <w:b/>
                <w:color w:val="FFFFFF"/>
                <w:sz w:val="18"/>
              </w:rPr>
              <w:t>Exact Cov.</w:t>
            </w:r>
          </w:p>
        </w:tc>
        <w:tc>
          <w:tcPr>
            <w:tcW w:type="dxa" w:w="1275"/>
            <w:shd w:val="clear" w:color="auto" w:fill="1A234E"/>
          </w:tcPr>
          <w:p>
            <w:pPr>
              <w:jc w:val="center"/>
            </w:pPr>
            <w:r>
              <w:rPr>
                <w:b/>
                <w:color w:val="FFFFFF"/>
                <w:sz w:val="18"/>
              </w:rPr>
              <w:t>Comp. Ratio</w:t>
            </w:r>
          </w:p>
        </w:tc>
      </w:tr>
      <w:tr>
        <w:tc>
          <w:tcPr>
            <w:tcW w:type="dxa" w:w="1275"/>
            <w:shd w:val="clear" w:color="auto" w:fill="E8EEF5"/>
          </w:tcPr>
          <w:p>
            <w:pPr>
              <w:jc w:val="center"/>
            </w:pPr>
            <w:r>
              <w:rPr>
                <w:sz w:val="18"/>
              </w:rPr>
              <w:t>10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0.019</w:t>
            </w:r>
          </w:p>
        </w:tc>
        <w:tc>
          <w:tcPr>
            <w:tcW w:type="dxa" w:w="1275"/>
            <w:shd w:val="clear" w:color="auto" w:fill="E8EEF5"/>
          </w:tcPr>
          <w:p>
            <w:pPr>
              <w:jc w:val="center"/>
            </w:pPr>
            <w:r>
              <w:rPr>
                <w:sz w:val="18"/>
              </w:rPr>
              <w:t>44.13</w:t>
            </w:r>
          </w:p>
        </w:tc>
        <w:tc>
          <w:tcPr>
            <w:tcW w:type="dxa" w:w="1275"/>
            <w:shd w:val="clear" w:color="auto" w:fill="E8EEF5"/>
          </w:tcPr>
          <w:p>
            <w:pPr>
              <w:jc w:val="center"/>
            </w:pPr>
            <w:r>
              <w:rPr>
                <w:sz w:val="18"/>
              </w:rPr>
              <w:t>0.863</w:t>
            </w:r>
          </w:p>
        </w:tc>
        <w:tc>
          <w:tcPr>
            <w:tcW w:type="dxa" w:w="1275"/>
            <w:shd w:val="clear" w:color="auto" w:fill="E8EEF5"/>
          </w:tcPr>
          <w:p>
            <w:pPr>
              <w:jc w:val="center"/>
            </w:pPr>
            <w:r>
              <w:rPr>
                <w:sz w:val="18"/>
              </w:rPr>
              <w:t>0.75</w:t>
            </w:r>
          </w:p>
        </w:tc>
        <w:tc>
          <w:tcPr>
            <w:tcW w:type="dxa" w:w="1275"/>
            <w:shd w:val="clear" w:color="auto" w:fill="E8EEF5"/>
          </w:tcPr>
          <w:p>
            <w:pPr>
              <w:jc w:val="center"/>
            </w:pPr>
            <w:r>
              <w:rPr>
                <w:sz w:val="18"/>
              </w:rPr>
              <w:t>0.182</w:t>
            </w:r>
          </w:p>
        </w:tc>
      </w:tr>
      <w:tr>
        <w:tc>
          <w:tcPr>
            <w:tcW w:type="dxa" w:w="1275"/>
            <w:shd w:val="clear" w:color="auto" w:fill="FFFFFF"/>
          </w:tcPr>
          <w:p>
            <w:pPr>
              <w:jc w:val="center"/>
            </w:pPr>
            <w:r>
              <w:rPr>
                <w:sz w:val="18"/>
              </w:rPr>
              <w:t>10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0.021</w:t>
            </w:r>
          </w:p>
        </w:tc>
        <w:tc>
          <w:tcPr>
            <w:tcW w:type="dxa" w:w="1275"/>
            <w:shd w:val="clear" w:color="auto" w:fill="FFFFFF"/>
          </w:tcPr>
          <w:p>
            <w:pPr>
              <w:jc w:val="center"/>
            </w:pPr>
            <w:r>
              <w:rPr>
                <w:sz w:val="18"/>
              </w:rPr>
              <w:t>63.56</w:t>
            </w:r>
          </w:p>
        </w:tc>
        <w:tc>
          <w:tcPr>
            <w:tcW w:type="dxa" w:w="1275"/>
            <w:shd w:val="clear" w:color="auto" w:fill="FFFFFF"/>
          </w:tcPr>
          <w:p>
            <w:pPr>
              <w:jc w:val="center"/>
            </w:pPr>
            <w:r>
              <w:rPr>
                <w:sz w:val="18"/>
              </w:rPr>
              <w:t>0.940</w:t>
            </w:r>
          </w:p>
        </w:tc>
        <w:tc>
          <w:tcPr>
            <w:tcW w:type="dxa" w:w="1275"/>
            <w:shd w:val="clear" w:color="auto" w:fill="FFFFFF"/>
          </w:tcPr>
          <w:p>
            <w:pPr>
              <w:jc w:val="center"/>
            </w:pPr>
            <w:r>
              <w:rPr>
                <w:sz w:val="18"/>
              </w:rPr>
              <w:t>0.85</w:t>
            </w:r>
          </w:p>
        </w:tc>
        <w:tc>
          <w:tcPr>
            <w:tcW w:type="dxa" w:w="1275"/>
            <w:shd w:val="clear" w:color="auto" w:fill="FFFFFF"/>
          </w:tcPr>
          <w:p>
            <w:pPr>
              <w:jc w:val="center"/>
            </w:pPr>
            <w:r>
              <w:rPr>
                <w:sz w:val="18"/>
              </w:rPr>
              <w:t>0.363</w:t>
            </w:r>
          </w:p>
        </w:tc>
      </w:tr>
      <w:tr>
        <w:tc>
          <w:tcPr>
            <w:tcW w:type="dxa" w:w="1275"/>
            <w:shd w:val="clear" w:color="auto" w:fill="E8EEF5"/>
          </w:tcPr>
          <w:p>
            <w:pPr>
              <w:jc w:val="center"/>
            </w:pPr>
            <w:r>
              <w:rPr>
                <w:sz w:val="18"/>
              </w:rPr>
              <w:t>10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0.013</w:t>
            </w:r>
          </w:p>
        </w:tc>
        <w:tc>
          <w:tcPr>
            <w:tcW w:type="dxa" w:w="1275"/>
            <w:shd w:val="clear" w:color="auto" w:fill="E8EEF5"/>
          </w:tcPr>
          <w:p>
            <w:pPr>
              <w:jc w:val="center"/>
            </w:pPr>
            <w:r>
              <w:rPr>
                <w:sz w:val="18"/>
              </w:rPr>
              <w:t>87.56</w:t>
            </w:r>
          </w:p>
        </w:tc>
        <w:tc>
          <w:tcPr>
            <w:tcW w:type="dxa" w:w="1275"/>
            <w:shd w:val="clear" w:color="auto" w:fill="E8EEF5"/>
          </w:tcPr>
          <w:p>
            <w:pPr>
              <w:jc w:val="center"/>
            </w:pPr>
            <w:r>
              <w:rPr>
                <w:sz w:val="18"/>
              </w:rPr>
              <w:t>1.000</w:t>
            </w:r>
          </w:p>
        </w:tc>
        <w:tc>
          <w:tcPr>
            <w:tcW w:type="dxa" w:w="1275"/>
            <w:shd w:val="clear" w:color="auto" w:fill="E8EEF5"/>
          </w:tcPr>
          <w:p>
            <w:pPr>
              <w:jc w:val="center"/>
            </w:pPr>
            <w:r>
              <w:rPr>
                <w:sz w:val="18"/>
              </w:rPr>
              <w:t>1.00</w:t>
            </w:r>
          </w:p>
        </w:tc>
        <w:tc>
          <w:tcPr>
            <w:tcW w:type="dxa" w:w="1275"/>
            <w:shd w:val="clear" w:color="auto" w:fill="E8EEF5"/>
          </w:tcPr>
          <w:p>
            <w:pPr>
              <w:jc w:val="center"/>
            </w:pPr>
            <w:r>
              <w:rPr>
                <w:sz w:val="18"/>
              </w:rPr>
              <w:t>0.726</w:t>
            </w:r>
          </w:p>
        </w:tc>
      </w:tr>
      <w:tr>
        <w:tc>
          <w:tcPr>
            <w:tcW w:type="dxa" w:w="1275"/>
            <w:shd w:val="clear" w:color="auto" w:fill="FFFFFF"/>
          </w:tcPr>
          <w:p>
            <w:pPr>
              <w:jc w:val="center"/>
            </w:pPr>
            <w:r>
              <w:rPr>
                <w:sz w:val="18"/>
              </w:rPr>
              <w:t>20</w:t>
            </w:r>
          </w:p>
        </w:tc>
        <w:tc>
          <w:tcPr>
            <w:tcW w:type="dxa" w:w="1275"/>
            <w:shd w:val="clear" w:color="auto" w:fill="FFFFFF"/>
          </w:tcPr>
          <w:p>
            <w:pPr>
              <w:jc w:val="center"/>
            </w:pPr>
            <w:r>
              <w:rPr>
                <w:sz w:val="18"/>
              </w:rPr>
              <w:t>2,000</w:t>
            </w:r>
          </w:p>
        </w:tc>
        <w:tc>
          <w:tcPr>
            <w:tcW w:type="dxa" w:w="1275"/>
            <w:shd w:val="clear" w:color="auto" w:fill="FFFFFF"/>
          </w:tcPr>
          <w:p>
            <w:pPr>
              <w:jc w:val="center"/>
            </w:pPr>
            <w:r>
              <w:rPr>
                <w:sz w:val="18"/>
              </w:rPr>
              <w:t>0.022</w:t>
            </w:r>
          </w:p>
        </w:tc>
        <w:tc>
          <w:tcPr>
            <w:tcW w:type="dxa" w:w="1275"/>
            <w:shd w:val="clear" w:color="auto" w:fill="FFFFFF"/>
          </w:tcPr>
          <w:p>
            <w:pPr>
              <w:jc w:val="center"/>
            </w:pPr>
            <w:r>
              <w:rPr>
                <w:sz w:val="18"/>
              </w:rPr>
              <w:t>63.21</w:t>
            </w:r>
          </w:p>
        </w:tc>
        <w:tc>
          <w:tcPr>
            <w:tcW w:type="dxa" w:w="1275"/>
            <w:shd w:val="clear" w:color="auto" w:fill="FFFFFF"/>
          </w:tcPr>
          <w:p>
            <w:pPr>
              <w:jc w:val="center"/>
            </w:pPr>
            <w:r>
              <w:rPr>
                <w:sz w:val="18"/>
              </w:rPr>
              <w:t>0.833</w:t>
            </w:r>
          </w:p>
        </w:tc>
        <w:tc>
          <w:tcPr>
            <w:tcW w:type="dxa" w:w="1275"/>
            <w:shd w:val="clear" w:color="auto" w:fill="FFFFFF"/>
          </w:tcPr>
          <w:p>
            <w:pPr>
              <w:jc w:val="center"/>
            </w:pPr>
            <w:r>
              <w:rPr>
                <w:sz w:val="18"/>
              </w:rPr>
              <w:t>0.65</w:t>
            </w:r>
          </w:p>
        </w:tc>
        <w:tc>
          <w:tcPr>
            <w:tcW w:type="dxa" w:w="1275"/>
            <w:shd w:val="clear" w:color="auto" w:fill="FFFFFF"/>
          </w:tcPr>
          <w:p>
            <w:pPr>
              <w:jc w:val="center"/>
            </w:pPr>
            <w:r>
              <w:rPr>
                <w:sz w:val="18"/>
              </w:rPr>
              <w:t>0.091</w:t>
            </w:r>
          </w:p>
        </w:tc>
      </w:tr>
      <w:tr>
        <w:tc>
          <w:tcPr>
            <w:tcW w:type="dxa" w:w="1275"/>
            <w:shd w:val="clear" w:color="auto" w:fill="E8EEF5"/>
          </w:tcPr>
          <w:p>
            <w:pPr>
              <w:jc w:val="center"/>
            </w:pPr>
            <w:r>
              <w:rPr>
                <w:sz w:val="18"/>
              </w:rPr>
              <w:t>20</w:t>
            </w:r>
          </w:p>
        </w:tc>
        <w:tc>
          <w:tcPr>
            <w:tcW w:type="dxa" w:w="1275"/>
            <w:shd w:val="clear" w:color="auto" w:fill="E8EEF5"/>
          </w:tcPr>
          <w:p>
            <w:pPr>
              <w:jc w:val="center"/>
            </w:pPr>
            <w:r>
              <w:rPr>
                <w:sz w:val="18"/>
              </w:rPr>
              <w:t>4,000</w:t>
            </w:r>
          </w:p>
        </w:tc>
        <w:tc>
          <w:tcPr>
            <w:tcW w:type="dxa" w:w="1275"/>
            <w:shd w:val="clear" w:color="auto" w:fill="E8EEF5"/>
          </w:tcPr>
          <w:p>
            <w:pPr>
              <w:jc w:val="center"/>
            </w:pPr>
            <w:r>
              <w:rPr>
                <w:sz w:val="18"/>
              </w:rPr>
              <w:t>0.027</w:t>
            </w:r>
          </w:p>
        </w:tc>
        <w:tc>
          <w:tcPr>
            <w:tcW w:type="dxa" w:w="1275"/>
            <w:shd w:val="clear" w:color="auto" w:fill="E8EEF5"/>
          </w:tcPr>
          <w:p>
            <w:pPr>
              <w:jc w:val="center"/>
            </w:pPr>
            <w:r>
              <w:rPr>
                <w:sz w:val="18"/>
              </w:rPr>
              <w:t>93.86</w:t>
            </w:r>
          </w:p>
        </w:tc>
        <w:tc>
          <w:tcPr>
            <w:tcW w:type="dxa" w:w="1275"/>
            <w:shd w:val="clear" w:color="auto" w:fill="E8EEF5"/>
          </w:tcPr>
          <w:p>
            <w:pPr>
              <w:jc w:val="center"/>
            </w:pPr>
            <w:r>
              <w:rPr>
                <w:sz w:val="18"/>
              </w:rPr>
              <w:t>0.963</w:t>
            </w:r>
          </w:p>
        </w:tc>
        <w:tc>
          <w:tcPr>
            <w:tcW w:type="dxa" w:w="1275"/>
            <w:shd w:val="clear" w:color="auto" w:fill="E8EEF5"/>
          </w:tcPr>
          <w:p>
            <w:pPr>
              <w:jc w:val="center"/>
            </w:pPr>
            <w:r>
              <w:rPr>
                <w:sz w:val="18"/>
              </w:rPr>
              <w:t>0.90</w:t>
            </w:r>
          </w:p>
        </w:tc>
        <w:tc>
          <w:tcPr>
            <w:tcW w:type="dxa" w:w="1275"/>
            <w:shd w:val="clear" w:color="auto" w:fill="E8EEF5"/>
          </w:tcPr>
          <w:p>
            <w:pPr>
              <w:jc w:val="center"/>
            </w:pPr>
            <w:r>
              <w:rPr>
                <w:sz w:val="18"/>
              </w:rPr>
              <w:t>0.181</w:t>
            </w:r>
          </w:p>
        </w:tc>
      </w:tr>
      <w:tr>
        <w:tc>
          <w:tcPr>
            <w:tcW w:type="dxa" w:w="1275"/>
            <w:shd w:val="clear" w:color="auto" w:fill="FFFFFF"/>
          </w:tcPr>
          <w:p>
            <w:pPr>
              <w:jc w:val="center"/>
            </w:pPr>
            <w:r>
              <w:rPr>
                <w:sz w:val="18"/>
              </w:rPr>
              <w:t>20</w:t>
            </w:r>
          </w:p>
        </w:tc>
        <w:tc>
          <w:tcPr>
            <w:tcW w:type="dxa" w:w="1275"/>
            <w:shd w:val="clear" w:color="auto" w:fill="FFFFFF"/>
          </w:tcPr>
          <w:p>
            <w:pPr>
              <w:jc w:val="center"/>
            </w:pPr>
            <w:r>
              <w:rPr>
                <w:sz w:val="18"/>
              </w:rPr>
              <w:t>8,000</w:t>
            </w:r>
          </w:p>
        </w:tc>
        <w:tc>
          <w:tcPr>
            <w:tcW w:type="dxa" w:w="1275"/>
            <w:shd w:val="clear" w:color="auto" w:fill="FFFFFF"/>
          </w:tcPr>
          <w:p>
            <w:pPr>
              <w:jc w:val="center"/>
            </w:pPr>
            <w:r>
              <w:rPr>
                <w:sz w:val="18"/>
              </w:rPr>
              <w:t>0.041</w:t>
            </w:r>
          </w:p>
        </w:tc>
        <w:tc>
          <w:tcPr>
            <w:tcW w:type="dxa" w:w="1275"/>
            <w:shd w:val="clear" w:color="auto" w:fill="FFFFFF"/>
          </w:tcPr>
          <w:p>
            <w:pPr>
              <w:jc w:val="center"/>
            </w:pPr>
            <w:r>
              <w:rPr>
                <w:sz w:val="18"/>
              </w:rPr>
              <w:t>137.01</w:t>
            </w:r>
          </w:p>
        </w:tc>
        <w:tc>
          <w:tcPr>
            <w:tcW w:type="dxa" w:w="1275"/>
            <w:shd w:val="clear" w:color="auto" w:fill="FFFFFF"/>
          </w:tcPr>
          <w:p>
            <w:pPr>
              <w:jc w:val="center"/>
            </w:pPr>
            <w:r>
              <w:rPr>
                <w:sz w:val="18"/>
              </w:rPr>
              <w:t>1.000</w:t>
            </w:r>
          </w:p>
        </w:tc>
        <w:tc>
          <w:tcPr>
            <w:tcW w:type="dxa" w:w="1275"/>
            <w:shd w:val="clear" w:color="auto" w:fill="FFFFFF"/>
          </w:tcPr>
          <w:p>
            <w:pPr>
              <w:jc w:val="center"/>
            </w:pPr>
            <w:r>
              <w:rPr>
                <w:sz w:val="18"/>
              </w:rPr>
              <w:t>1.00</w:t>
            </w:r>
          </w:p>
        </w:tc>
        <w:tc>
          <w:tcPr>
            <w:tcW w:type="dxa" w:w="1275"/>
            <w:shd w:val="clear" w:color="auto" w:fill="FFFFFF"/>
          </w:tcPr>
          <w:p>
            <w:pPr>
              <w:jc w:val="center"/>
            </w:pPr>
            <w:r>
              <w:rPr>
                <w:sz w:val="18"/>
              </w:rPr>
              <w:t>0.362</w:t>
            </w:r>
          </w:p>
        </w:tc>
      </w:tr>
      <w:tr>
        <w:tc>
          <w:tcPr>
            <w:tcW w:type="dxa" w:w="1275"/>
            <w:shd w:val="clear" w:color="auto" w:fill="E8EEF5"/>
          </w:tcPr>
          <w:p>
            <w:pPr>
              <w:jc w:val="center"/>
            </w:pPr>
            <w:r>
              <w:rPr>
                <w:sz w:val="18"/>
              </w:rPr>
              <w:t>30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0.020</w:t>
            </w:r>
          </w:p>
        </w:tc>
        <w:tc>
          <w:tcPr>
            <w:tcW w:type="dxa" w:w="1275"/>
            <w:shd w:val="clear" w:color="auto" w:fill="E8EEF5"/>
          </w:tcPr>
          <w:p>
            <w:pPr>
              <w:jc w:val="center"/>
            </w:pPr>
            <w:r>
              <w:rPr>
                <w:sz w:val="18"/>
              </w:rPr>
              <w:t>72.23</w:t>
            </w:r>
          </w:p>
        </w:tc>
        <w:tc>
          <w:tcPr>
            <w:tcW w:type="dxa" w:w="1275"/>
            <w:shd w:val="clear" w:color="auto" w:fill="E8EEF5"/>
          </w:tcPr>
          <w:p>
            <w:pPr>
              <w:jc w:val="center"/>
            </w:pPr>
            <w:r>
              <w:rPr>
                <w:sz w:val="18"/>
              </w:rPr>
              <w:t>0.838</w:t>
            </w:r>
          </w:p>
        </w:tc>
        <w:tc>
          <w:tcPr>
            <w:tcW w:type="dxa" w:w="1275"/>
            <w:shd w:val="clear" w:color="auto" w:fill="E8EEF5"/>
          </w:tcPr>
          <w:p>
            <w:pPr>
              <w:jc w:val="center"/>
            </w:pPr>
            <w:r>
              <w:rPr>
                <w:sz w:val="18"/>
              </w:rPr>
              <w:t>0.65</w:t>
            </w:r>
          </w:p>
        </w:tc>
        <w:tc>
          <w:tcPr>
            <w:tcW w:type="dxa" w:w="1275"/>
            <w:shd w:val="clear" w:color="auto" w:fill="E8EEF5"/>
          </w:tcPr>
          <w:p>
            <w:pPr>
              <w:jc w:val="center"/>
            </w:pPr>
            <w:r>
              <w:rPr>
                <w:sz w:val="18"/>
              </w:rPr>
              <w:t>0.061</w:t>
            </w:r>
          </w:p>
        </w:tc>
      </w:tr>
      <w:tr>
        <w:tc>
          <w:tcPr>
            <w:tcW w:type="dxa" w:w="1275"/>
            <w:shd w:val="clear" w:color="auto" w:fill="FFFFFF"/>
          </w:tcPr>
          <w:p>
            <w:pPr>
              <w:jc w:val="center"/>
            </w:pPr>
            <w:r>
              <w:rPr>
                <w:sz w:val="18"/>
              </w:rPr>
              <w:t>30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0.029</w:t>
            </w:r>
          </w:p>
        </w:tc>
        <w:tc>
          <w:tcPr>
            <w:tcW w:type="dxa" w:w="1275"/>
            <w:shd w:val="clear" w:color="auto" w:fill="FFFFFF"/>
          </w:tcPr>
          <w:p>
            <w:pPr>
              <w:jc w:val="center"/>
            </w:pPr>
            <w:r>
              <w:rPr>
                <w:sz w:val="18"/>
              </w:rPr>
              <w:t>106.88</w:t>
            </w:r>
          </w:p>
        </w:tc>
        <w:tc>
          <w:tcPr>
            <w:tcW w:type="dxa" w:w="1275"/>
            <w:shd w:val="clear" w:color="auto" w:fill="FFFFFF"/>
          </w:tcPr>
          <w:p>
            <w:pPr>
              <w:jc w:val="center"/>
            </w:pPr>
            <w:r>
              <w:rPr>
                <w:sz w:val="18"/>
              </w:rPr>
              <w:t>0.879</w:t>
            </w:r>
          </w:p>
        </w:tc>
        <w:tc>
          <w:tcPr>
            <w:tcW w:type="dxa" w:w="1275"/>
            <w:shd w:val="clear" w:color="auto" w:fill="FFFFFF"/>
          </w:tcPr>
          <w:p>
            <w:pPr>
              <w:jc w:val="center"/>
            </w:pPr>
            <w:r>
              <w:rPr>
                <w:sz w:val="18"/>
              </w:rPr>
              <w:t>0.70</w:t>
            </w:r>
          </w:p>
        </w:tc>
        <w:tc>
          <w:tcPr>
            <w:tcW w:type="dxa" w:w="1275"/>
            <w:shd w:val="clear" w:color="auto" w:fill="FFFFFF"/>
          </w:tcPr>
          <w:p>
            <w:pPr>
              <w:jc w:val="center"/>
            </w:pPr>
            <w:r>
              <w:rPr>
                <w:sz w:val="18"/>
              </w:rPr>
              <w:t>0.121</w:t>
            </w:r>
          </w:p>
        </w:tc>
      </w:tr>
      <w:tr>
        <w:tc>
          <w:tcPr>
            <w:tcW w:type="dxa" w:w="1275"/>
            <w:shd w:val="clear" w:color="auto" w:fill="E8EEF5"/>
          </w:tcPr>
          <w:p>
            <w:pPr>
              <w:jc w:val="center"/>
            </w:pPr>
            <w:r>
              <w:rPr>
                <w:sz w:val="18"/>
              </w:rPr>
              <w:t>30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0.043</w:t>
            </w:r>
          </w:p>
        </w:tc>
        <w:tc>
          <w:tcPr>
            <w:tcW w:type="dxa" w:w="1275"/>
            <w:shd w:val="clear" w:color="auto" w:fill="E8EEF5"/>
          </w:tcPr>
          <w:p>
            <w:pPr>
              <w:jc w:val="center"/>
            </w:pPr>
            <w:r>
              <w:rPr>
                <w:sz w:val="18"/>
              </w:rPr>
              <w:t>158.53</w:t>
            </w:r>
          </w:p>
        </w:tc>
        <w:tc>
          <w:tcPr>
            <w:tcW w:type="dxa" w:w="1275"/>
            <w:shd w:val="clear" w:color="auto" w:fill="E8EEF5"/>
          </w:tcPr>
          <w:p>
            <w:pPr>
              <w:jc w:val="center"/>
            </w:pPr>
            <w:r>
              <w:rPr>
                <w:sz w:val="18"/>
              </w:rPr>
              <w:t>0.942</w:t>
            </w:r>
          </w:p>
        </w:tc>
        <w:tc>
          <w:tcPr>
            <w:tcW w:type="dxa" w:w="1275"/>
            <w:shd w:val="clear" w:color="auto" w:fill="E8EEF5"/>
          </w:tcPr>
          <w:p>
            <w:pPr>
              <w:jc w:val="center"/>
            </w:pPr>
            <w:r>
              <w:rPr>
                <w:sz w:val="18"/>
              </w:rPr>
              <w:t>0.85</w:t>
            </w:r>
          </w:p>
        </w:tc>
        <w:tc>
          <w:tcPr>
            <w:tcW w:type="dxa" w:w="1275"/>
            <w:shd w:val="clear" w:color="auto" w:fill="E8EEF5"/>
          </w:tcPr>
          <w:p>
            <w:pPr>
              <w:jc w:val="center"/>
            </w:pPr>
            <w:r>
              <w:rPr>
                <w:sz w:val="18"/>
              </w:rPr>
              <w:t>0.243</w:t>
            </w:r>
          </w:p>
        </w:tc>
      </w:tr>
      <w:tr>
        <w:tc>
          <w:tcPr>
            <w:tcW w:type="dxa" w:w="1275"/>
            <w:shd w:val="clear" w:color="auto" w:fill="FFFFFF"/>
          </w:tcPr>
          <w:p>
            <w:pPr>
              <w:jc w:val="center"/>
            </w:pPr>
            <w:r>
              <w:rPr>
                <w:sz w:val="18"/>
              </w:rPr>
              <w:t>40</w:t>
            </w:r>
          </w:p>
        </w:tc>
        <w:tc>
          <w:tcPr>
            <w:tcW w:type="dxa" w:w="1275"/>
            <w:shd w:val="clear" w:color="auto" w:fill="FFFFFF"/>
          </w:tcPr>
          <w:p>
            <w:pPr>
              <w:jc w:val="center"/>
            </w:pPr>
            <w:r>
              <w:rPr>
                <w:sz w:val="18"/>
              </w:rPr>
              <w:t>2,000</w:t>
            </w:r>
          </w:p>
        </w:tc>
        <w:tc>
          <w:tcPr>
            <w:tcW w:type="dxa" w:w="1275"/>
            <w:shd w:val="clear" w:color="auto" w:fill="FFFFFF"/>
          </w:tcPr>
          <w:p>
            <w:pPr>
              <w:jc w:val="center"/>
            </w:pPr>
            <w:r>
              <w:rPr>
                <w:sz w:val="18"/>
              </w:rPr>
              <w:t>0.023</w:t>
            </w:r>
          </w:p>
        </w:tc>
        <w:tc>
          <w:tcPr>
            <w:tcW w:type="dxa" w:w="1275"/>
            <w:shd w:val="clear" w:color="auto" w:fill="FFFFFF"/>
          </w:tcPr>
          <w:p>
            <w:pPr>
              <w:jc w:val="center"/>
            </w:pPr>
            <w:r>
              <w:rPr>
                <w:sz w:val="18"/>
              </w:rPr>
              <w:t>83.74</w:t>
            </w:r>
          </w:p>
        </w:tc>
        <w:tc>
          <w:tcPr>
            <w:tcW w:type="dxa" w:w="1275"/>
            <w:shd w:val="clear" w:color="auto" w:fill="FFFFFF"/>
          </w:tcPr>
          <w:p>
            <w:pPr>
              <w:jc w:val="center"/>
            </w:pPr>
            <w:r>
              <w:rPr>
                <w:sz w:val="18"/>
              </w:rPr>
              <w:t>0.518</w:t>
            </w:r>
          </w:p>
        </w:tc>
        <w:tc>
          <w:tcPr>
            <w:tcW w:type="dxa" w:w="1275"/>
            <w:shd w:val="clear" w:color="auto" w:fill="FFFFFF"/>
          </w:tcPr>
          <w:p>
            <w:pPr>
              <w:jc w:val="center"/>
            </w:pPr>
            <w:r>
              <w:rPr>
                <w:sz w:val="18"/>
              </w:rPr>
              <w:t>0.20</w:t>
            </w:r>
          </w:p>
        </w:tc>
        <w:tc>
          <w:tcPr>
            <w:tcW w:type="dxa" w:w="1275"/>
            <w:shd w:val="clear" w:color="auto" w:fill="FFFFFF"/>
          </w:tcPr>
          <w:p>
            <w:pPr>
              <w:jc w:val="center"/>
            </w:pPr>
            <w:r>
              <w:rPr>
                <w:sz w:val="18"/>
              </w:rPr>
              <w:t>0.045</w:t>
            </w:r>
          </w:p>
        </w:tc>
      </w:tr>
      <w:tr>
        <w:tc>
          <w:tcPr>
            <w:tcW w:type="dxa" w:w="1275"/>
            <w:shd w:val="clear" w:color="auto" w:fill="E8EEF5"/>
          </w:tcPr>
          <w:p>
            <w:pPr>
              <w:jc w:val="center"/>
            </w:pPr>
            <w:r>
              <w:rPr>
                <w:sz w:val="18"/>
              </w:rPr>
              <w:t>40</w:t>
            </w:r>
          </w:p>
        </w:tc>
        <w:tc>
          <w:tcPr>
            <w:tcW w:type="dxa" w:w="1275"/>
            <w:shd w:val="clear" w:color="auto" w:fill="E8EEF5"/>
          </w:tcPr>
          <w:p>
            <w:pPr>
              <w:jc w:val="center"/>
            </w:pPr>
            <w:r>
              <w:rPr>
                <w:sz w:val="18"/>
              </w:rPr>
              <w:t>4,000</w:t>
            </w:r>
          </w:p>
        </w:tc>
        <w:tc>
          <w:tcPr>
            <w:tcW w:type="dxa" w:w="1275"/>
            <w:shd w:val="clear" w:color="auto" w:fill="E8EEF5"/>
          </w:tcPr>
          <w:p>
            <w:pPr>
              <w:jc w:val="center"/>
            </w:pPr>
            <w:r>
              <w:rPr>
                <w:sz w:val="18"/>
              </w:rPr>
              <w:t>0.033</w:t>
            </w:r>
          </w:p>
        </w:tc>
        <w:tc>
          <w:tcPr>
            <w:tcW w:type="dxa" w:w="1275"/>
            <w:shd w:val="clear" w:color="auto" w:fill="E8EEF5"/>
          </w:tcPr>
          <w:p>
            <w:pPr>
              <w:jc w:val="center"/>
            </w:pPr>
            <w:r>
              <w:rPr>
                <w:sz w:val="18"/>
              </w:rPr>
              <w:t>123.35</w:t>
            </w:r>
          </w:p>
        </w:tc>
        <w:tc>
          <w:tcPr>
            <w:tcW w:type="dxa" w:w="1275"/>
            <w:shd w:val="clear" w:color="auto" w:fill="E8EEF5"/>
          </w:tcPr>
          <w:p>
            <w:pPr>
              <w:jc w:val="center"/>
            </w:pPr>
            <w:r>
              <w:rPr>
                <w:sz w:val="18"/>
              </w:rPr>
              <w:t>0.784</w:t>
            </w:r>
          </w:p>
        </w:tc>
        <w:tc>
          <w:tcPr>
            <w:tcW w:type="dxa" w:w="1275"/>
            <w:shd w:val="clear" w:color="auto" w:fill="E8EEF5"/>
          </w:tcPr>
          <w:p>
            <w:pPr>
              <w:jc w:val="center"/>
            </w:pPr>
            <w:r>
              <w:rPr>
                <w:sz w:val="18"/>
              </w:rPr>
              <w:t>0.50</w:t>
            </w:r>
          </w:p>
        </w:tc>
        <w:tc>
          <w:tcPr>
            <w:tcW w:type="dxa" w:w="1275"/>
            <w:shd w:val="clear" w:color="auto" w:fill="E8EEF5"/>
          </w:tcPr>
          <w:p>
            <w:pPr>
              <w:jc w:val="center"/>
            </w:pPr>
            <w:r>
              <w:rPr>
                <w:sz w:val="18"/>
              </w:rPr>
              <w:t>0.091</w:t>
            </w:r>
          </w:p>
        </w:tc>
      </w:tr>
      <w:tr>
        <w:tc>
          <w:tcPr>
            <w:tcW w:type="dxa" w:w="1275"/>
            <w:shd w:val="clear" w:color="auto" w:fill="FFFFFF"/>
          </w:tcPr>
          <w:p>
            <w:pPr>
              <w:jc w:val="center"/>
            </w:pPr>
            <w:r>
              <w:rPr>
                <w:sz w:val="18"/>
              </w:rPr>
              <w:t>40</w:t>
            </w:r>
          </w:p>
        </w:tc>
        <w:tc>
          <w:tcPr>
            <w:tcW w:type="dxa" w:w="1275"/>
            <w:shd w:val="clear" w:color="auto" w:fill="FFFFFF"/>
          </w:tcPr>
          <w:p>
            <w:pPr>
              <w:jc w:val="center"/>
            </w:pPr>
            <w:r>
              <w:rPr>
                <w:sz w:val="18"/>
              </w:rPr>
              <w:t>8,000</w:t>
            </w:r>
          </w:p>
        </w:tc>
        <w:tc>
          <w:tcPr>
            <w:tcW w:type="dxa" w:w="1275"/>
            <w:shd w:val="clear" w:color="auto" w:fill="FFFFFF"/>
          </w:tcPr>
          <w:p>
            <w:pPr>
              <w:jc w:val="center"/>
            </w:pPr>
            <w:r>
              <w:rPr>
                <w:sz w:val="18"/>
              </w:rPr>
              <w:t>0.046</w:t>
            </w:r>
          </w:p>
        </w:tc>
        <w:tc>
          <w:tcPr>
            <w:tcW w:type="dxa" w:w="1275"/>
            <w:shd w:val="clear" w:color="auto" w:fill="FFFFFF"/>
          </w:tcPr>
          <w:p>
            <w:pPr>
              <w:jc w:val="center"/>
            </w:pPr>
            <w:r>
              <w:rPr>
                <w:sz w:val="18"/>
              </w:rPr>
              <w:t>182.90</w:t>
            </w:r>
          </w:p>
        </w:tc>
        <w:tc>
          <w:tcPr>
            <w:tcW w:type="dxa" w:w="1275"/>
            <w:shd w:val="clear" w:color="auto" w:fill="FFFFFF"/>
          </w:tcPr>
          <w:p>
            <w:pPr>
              <w:jc w:val="center"/>
            </w:pPr>
            <w:r>
              <w:rPr>
                <w:sz w:val="18"/>
              </w:rPr>
              <w:t>0.872</w:t>
            </w:r>
          </w:p>
        </w:tc>
        <w:tc>
          <w:tcPr>
            <w:tcW w:type="dxa" w:w="1275"/>
            <w:shd w:val="clear" w:color="auto" w:fill="FFFFFF"/>
          </w:tcPr>
          <w:p>
            <w:pPr>
              <w:jc w:val="center"/>
            </w:pPr>
            <w:r>
              <w:rPr>
                <w:sz w:val="18"/>
              </w:rPr>
              <w:t>0.70</w:t>
            </w:r>
          </w:p>
        </w:tc>
        <w:tc>
          <w:tcPr>
            <w:tcW w:type="dxa" w:w="1275"/>
            <w:shd w:val="clear" w:color="auto" w:fill="FFFFFF"/>
          </w:tcPr>
          <w:p>
            <w:pPr>
              <w:jc w:val="center"/>
            </w:pPr>
            <w:r>
              <w:rPr>
                <w:sz w:val="18"/>
              </w:rPr>
              <w:t>0.182</w:t>
            </w:r>
          </w:p>
        </w:tc>
      </w:tr>
      <w:tr>
        <w:tc>
          <w:tcPr>
            <w:tcW w:type="dxa" w:w="1275"/>
            <w:shd w:val="clear" w:color="auto" w:fill="E8EEF5"/>
          </w:tcPr>
          <w:p>
            <w:pPr>
              <w:jc w:val="center"/>
            </w:pPr>
            <w:r>
              <w:rPr>
                <w:sz w:val="18"/>
              </w:rPr>
              <w:t>50</w:t>
            </w:r>
          </w:p>
        </w:tc>
        <w:tc>
          <w:tcPr>
            <w:tcW w:type="dxa" w:w="1275"/>
            <w:shd w:val="clear" w:color="auto" w:fill="E8EEF5"/>
          </w:tcPr>
          <w:p>
            <w:pPr>
              <w:jc w:val="center"/>
            </w:pPr>
            <w:r>
              <w:rPr>
                <w:sz w:val="18"/>
              </w:rPr>
              <w:t>2,000</w:t>
            </w:r>
          </w:p>
        </w:tc>
        <w:tc>
          <w:tcPr>
            <w:tcW w:type="dxa" w:w="1275"/>
            <w:shd w:val="clear" w:color="auto" w:fill="E8EEF5"/>
          </w:tcPr>
          <w:p>
            <w:pPr>
              <w:jc w:val="center"/>
            </w:pPr>
            <w:r>
              <w:rPr>
                <w:sz w:val="18"/>
              </w:rPr>
              <w:t>0.026</w:t>
            </w:r>
          </w:p>
        </w:tc>
        <w:tc>
          <w:tcPr>
            <w:tcW w:type="dxa" w:w="1275"/>
            <w:shd w:val="clear" w:color="auto" w:fill="E8EEF5"/>
          </w:tcPr>
          <w:p>
            <w:pPr>
              <w:jc w:val="center"/>
            </w:pPr>
            <w:r>
              <w:rPr>
                <w:sz w:val="18"/>
              </w:rPr>
              <w:t>88.46</w:t>
            </w:r>
          </w:p>
        </w:tc>
        <w:tc>
          <w:tcPr>
            <w:tcW w:type="dxa" w:w="1275"/>
            <w:shd w:val="clear" w:color="auto" w:fill="E8EEF5"/>
          </w:tcPr>
          <w:p>
            <w:pPr>
              <w:jc w:val="center"/>
            </w:pPr>
            <w:r>
              <w:rPr>
                <w:sz w:val="18"/>
              </w:rPr>
              <w:t>0.722</w:t>
            </w:r>
          </w:p>
        </w:tc>
        <w:tc>
          <w:tcPr>
            <w:tcW w:type="dxa" w:w="1275"/>
            <w:shd w:val="clear" w:color="auto" w:fill="E8EEF5"/>
          </w:tcPr>
          <w:p>
            <w:pPr>
              <w:jc w:val="center"/>
            </w:pPr>
            <w:r>
              <w:rPr>
                <w:sz w:val="18"/>
              </w:rPr>
              <w:t>0.45</w:t>
            </w:r>
          </w:p>
        </w:tc>
        <w:tc>
          <w:tcPr>
            <w:tcW w:type="dxa" w:w="1275"/>
            <w:shd w:val="clear" w:color="auto" w:fill="E8EEF5"/>
          </w:tcPr>
          <w:p>
            <w:pPr>
              <w:jc w:val="center"/>
            </w:pPr>
            <w:r>
              <w:rPr>
                <w:sz w:val="18"/>
              </w:rPr>
              <w:t>0.037</w:t>
            </w:r>
          </w:p>
        </w:tc>
      </w:tr>
      <w:tr>
        <w:tc>
          <w:tcPr>
            <w:tcW w:type="dxa" w:w="1275"/>
            <w:shd w:val="clear" w:color="auto" w:fill="FFFFFF"/>
          </w:tcPr>
          <w:p>
            <w:pPr>
              <w:jc w:val="center"/>
            </w:pPr>
            <w:r>
              <w:rPr>
                <w:sz w:val="18"/>
              </w:rPr>
              <w:t>50</w:t>
            </w:r>
          </w:p>
        </w:tc>
        <w:tc>
          <w:tcPr>
            <w:tcW w:type="dxa" w:w="1275"/>
            <w:shd w:val="clear" w:color="auto" w:fill="FFFFFF"/>
          </w:tcPr>
          <w:p>
            <w:pPr>
              <w:jc w:val="center"/>
            </w:pPr>
            <w:r>
              <w:rPr>
                <w:sz w:val="18"/>
              </w:rPr>
              <w:t>4,000</w:t>
            </w:r>
          </w:p>
        </w:tc>
        <w:tc>
          <w:tcPr>
            <w:tcW w:type="dxa" w:w="1275"/>
            <w:shd w:val="clear" w:color="auto" w:fill="FFFFFF"/>
          </w:tcPr>
          <w:p>
            <w:pPr>
              <w:jc w:val="center"/>
            </w:pPr>
            <w:r>
              <w:rPr>
                <w:sz w:val="18"/>
              </w:rPr>
              <w:t>0.030</w:t>
            </w:r>
          </w:p>
        </w:tc>
        <w:tc>
          <w:tcPr>
            <w:tcW w:type="dxa" w:w="1275"/>
            <w:shd w:val="clear" w:color="auto" w:fill="FFFFFF"/>
          </w:tcPr>
          <w:p>
            <w:pPr>
              <w:jc w:val="center"/>
            </w:pPr>
            <w:r>
              <w:rPr>
                <w:sz w:val="18"/>
              </w:rPr>
              <w:t>129.74</w:t>
            </w:r>
          </w:p>
        </w:tc>
        <w:tc>
          <w:tcPr>
            <w:tcW w:type="dxa" w:w="1275"/>
            <w:shd w:val="clear" w:color="auto" w:fill="FFFFFF"/>
          </w:tcPr>
          <w:p>
            <w:pPr>
              <w:jc w:val="center"/>
            </w:pPr>
            <w:r>
              <w:rPr>
                <w:sz w:val="18"/>
              </w:rPr>
              <w:t>0.906</w:t>
            </w:r>
          </w:p>
        </w:tc>
        <w:tc>
          <w:tcPr>
            <w:tcW w:type="dxa" w:w="1275"/>
            <w:shd w:val="clear" w:color="auto" w:fill="FFFFFF"/>
          </w:tcPr>
          <w:p>
            <w:pPr>
              <w:jc w:val="center"/>
            </w:pPr>
            <w:r>
              <w:rPr>
                <w:sz w:val="18"/>
              </w:rPr>
              <w:t>0.80</w:t>
            </w:r>
          </w:p>
        </w:tc>
        <w:tc>
          <w:tcPr>
            <w:tcW w:type="dxa" w:w="1275"/>
            <w:shd w:val="clear" w:color="auto" w:fill="FFFFFF"/>
          </w:tcPr>
          <w:p>
            <w:pPr>
              <w:jc w:val="center"/>
            </w:pPr>
            <w:r>
              <w:rPr>
                <w:sz w:val="18"/>
              </w:rPr>
              <w:t>0.074</w:t>
            </w:r>
          </w:p>
        </w:tc>
      </w:tr>
      <w:tr>
        <w:tc>
          <w:tcPr>
            <w:tcW w:type="dxa" w:w="1275"/>
            <w:shd w:val="clear" w:color="auto" w:fill="E8EEF5"/>
          </w:tcPr>
          <w:p>
            <w:pPr>
              <w:jc w:val="center"/>
            </w:pPr>
            <w:r>
              <w:rPr>
                <w:sz w:val="18"/>
              </w:rPr>
              <w:t>50</w:t>
            </w:r>
          </w:p>
        </w:tc>
        <w:tc>
          <w:tcPr>
            <w:tcW w:type="dxa" w:w="1275"/>
            <w:shd w:val="clear" w:color="auto" w:fill="E8EEF5"/>
          </w:tcPr>
          <w:p>
            <w:pPr>
              <w:jc w:val="center"/>
            </w:pPr>
            <w:r>
              <w:rPr>
                <w:sz w:val="18"/>
              </w:rPr>
              <w:t>8,000</w:t>
            </w:r>
          </w:p>
        </w:tc>
        <w:tc>
          <w:tcPr>
            <w:tcW w:type="dxa" w:w="1275"/>
            <w:shd w:val="clear" w:color="auto" w:fill="E8EEF5"/>
          </w:tcPr>
          <w:p>
            <w:pPr>
              <w:jc w:val="center"/>
            </w:pPr>
            <w:r>
              <w:rPr>
                <w:sz w:val="18"/>
              </w:rPr>
              <w:t>0.053</w:t>
            </w:r>
          </w:p>
        </w:tc>
        <w:tc>
          <w:tcPr>
            <w:tcW w:type="dxa" w:w="1275"/>
            <w:shd w:val="clear" w:color="auto" w:fill="E8EEF5"/>
          </w:tcPr>
          <w:p>
            <w:pPr>
              <w:jc w:val="center"/>
            </w:pPr>
            <w:r>
              <w:rPr>
                <w:sz w:val="18"/>
              </w:rPr>
              <w:t>192.58</w:t>
            </w:r>
          </w:p>
        </w:tc>
        <w:tc>
          <w:tcPr>
            <w:tcW w:type="dxa" w:w="1275"/>
            <w:shd w:val="clear" w:color="auto" w:fill="E8EEF5"/>
          </w:tcPr>
          <w:p>
            <w:pPr>
              <w:jc w:val="center"/>
            </w:pPr>
            <w:r>
              <w:rPr>
                <w:sz w:val="18"/>
              </w:rPr>
              <w:t>0.936</w:t>
            </w:r>
          </w:p>
        </w:tc>
        <w:tc>
          <w:tcPr>
            <w:tcW w:type="dxa" w:w="1275"/>
            <w:shd w:val="clear" w:color="auto" w:fill="E8EEF5"/>
          </w:tcPr>
          <w:p>
            <w:pPr>
              <w:jc w:val="center"/>
            </w:pPr>
            <w:r>
              <w:rPr>
                <w:sz w:val="18"/>
              </w:rPr>
              <w:t>0.85</w:t>
            </w:r>
          </w:p>
        </w:tc>
        <w:tc>
          <w:tcPr>
            <w:tcW w:type="dxa" w:w="1275"/>
            <w:shd w:val="clear" w:color="auto" w:fill="E8EEF5"/>
          </w:tcPr>
          <w:p>
            <w:pPr>
              <w:jc w:val="center"/>
            </w:pPr>
            <w:r>
              <w:rPr>
                <w:sz w:val="18"/>
              </w:rPr>
              <w:t>0.147</w:t>
            </w:r>
          </w:p>
        </w:tc>
      </w:tr>
    </w:tbl>
    <w:p>
      <w:pPr>
        <w:spacing w:before="80"/>
        <w:jc w:val="center"/>
      </w:pPr>
      <w:r>
        <w:rPr>
          <w:i/>
          <w:color w:val="2E3A59"/>
          <w:sz w:val="18"/>
        </w:rPr>
        <w:t>Table 4  —  Hybrid Greedy-Refine results.</w:t>
      </w:r>
    </w:p>
    <w:p/>
    <w:p>
      <w:pPr>
        <w:pBdr>
          <w:bottom w:val="single" w:sz="4" w:space="1" w:color="0D7C8F"/>
        </w:pBdr>
        <w:spacing w:after="160"/>
      </w:pPr>
    </w:p>
    <w:p>
      <w:pPr>
        <w:pStyle w:val="Heading1"/>
        <w:spacing w:before="280" w:after="80"/>
      </w:pPr>
      <w:r>
        <w:rPr>
          <w:color w:val="1A234E"/>
        </w:rPr>
        <w:t>4  Runtime Analysis</w:t>
      </w:r>
    </w:p>
    <w:p>
      <w:pPr>
        <w:spacing w:after="120"/>
      </w:pPr>
      <w:r>
        <w:rPr>
          <w:b w:val="0"/>
          <w:i w:val="0"/>
          <w:sz w:val="22"/>
        </w:rPr>
        <w:t>Figures 1–3 show average runtime as a function of merge size for each of the three token budgets under hybrid scoring. The ordering of algorithms is unchanged from the lexical experiment: Exact-DP scales markedly, while both greedy methods remain near-flat.</w:t>
      </w:r>
    </w:p>
    <w:p>
      <w:pPr>
        <w:spacing w:before="120" w:after="40"/>
        <w:jc w:val="center"/>
      </w:pPr>
      <w:r>
        <w:drawing>
          <wp:inline xmlns:a="http://schemas.openxmlformats.org/drawingml/2006/main" xmlns:pic="http://schemas.openxmlformats.org/drawingml/2006/picture">
            <wp:extent cx="5303520" cy="2904209"/>
            <wp:docPr id="1" name="Picture 1"/>
            <wp:cNvGraphicFramePr>
              <a:graphicFrameLocks noChangeAspect="1"/>
            </wp:cNvGraphicFramePr>
            <a:graphic>
              <a:graphicData uri="http://schemas.openxmlformats.org/drawingml/2006/picture">
                <pic:pic>
                  <pic:nvPicPr>
                    <pic:cNvPr id="0" name="improved_hybrid_runtime_2000.png"/>
                    <pic:cNvPicPr/>
                  </pic:nvPicPr>
                  <pic:blipFill>
                    <a:blip r:embed="rId9"/>
                    <a:stretch>
                      <a:fillRect/>
                    </a:stretch>
                  </pic:blipFill>
                  <pic:spPr>
                    <a:xfrm>
                      <a:off x="0" y="0"/>
                      <a:ext cx="5303520" cy="2904209"/>
                    </a:xfrm>
                    <a:prstGeom prst="rect"/>
                  </pic:spPr>
                </pic:pic>
              </a:graphicData>
            </a:graphic>
          </wp:inline>
        </w:drawing>
      </w:r>
    </w:p>
    <w:p>
      <w:pPr>
        <w:spacing w:after="200"/>
        <w:jc w:val="center"/>
      </w:pPr>
      <w:r>
        <w:rPr>
          <w:i/>
          <w:color w:val="2E3A59"/>
          <w:sz w:val="18"/>
        </w:rPr>
        <w:t>Figure 1.  Average runtime vs. merge size at budget = 2,000 tokens (hybrid scoring). Exact-DP already diverges from the greedy methods; both greedy variants remain well below 5 ms.</w:t>
      </w:r>
    </w:p>
    <w:p>
      <w:pPr>
        <w:spacing w:before="120" w:after="40"/>
        <w:jc w:val="center"/>
      </w:pPr>
      <w:r>
        <w:drawing>
          <wp:inline xmlns:a="http://schemas.openxmlformats.org/drawingml/2006/main" xmlns:pic="http://schemas.openxmlformats.org/drawingml/2006/picture">
            <wp:extent cx="5303520" cy="2904209"/>
            <wp:docPr id="2" name="Picture 2"/>
            <wp:cNvGraphicFramePr>
              <a:graphicFrameLocks noChangeAspect="1"/>
            </wp:cNvGraphicFramePr>
            <a:graphic>
              <a:graphicData uri="http://schemas.openxmlformats.org/drawingml/2006/picture">
                <pic:pic>
                  <pic:nvPicPr>
                    <pic:cNvPr id="0" name="improved_hybrid_runtime_4000.png"/>
                    <pic:cNvPicPr/>
                  </pic:nvPicPr>
                  <pic:blipFill>
                    <a:blip r:embed="rId10"/>
                    <a:stretch>
                      <a:fillRect/>
                    </a:stretch>
                  </pic:blipFill>
                  <pic:spPr>
                    <a:xfrm>
                      <a:off x="0" y="0"/>
                      <a:ext cx="5303520" cy="2904209"/>
                    </a:xfrm>
                    <a:prstGeom prst="rect"/>
                  </pic:spPr>
                </pic:pic>
              </a:graphicData>
            </a:graphic>
          </wp:inline>
        </w:drawing>
      </w:r>
    </w:p>
    <w:p>
      <w:pPr>
        <w:spacing w:after="200"/>
        <w:jc w:val="center"/>
      </w:pPr>
      <w:r>
        <w:rPr>
          <w:i/>
          <w:color w:val="2E3A59"/>
          <w:sz w:val="18"/>
        </w:rPr>
        <w:t>Figure 2.  Average runtime vs. merge size at budget = 4,000 tokens (hybrid scoring). Exact-DP growth is clearly linear with merge size; greedy methods are essentially flat.</w:t>
      </w:r>
    </w:p>
    <w:p>
      <w:pPr>
        <w:spacing w:before="120" w:after="40"/>
        <w:jc w:val="center"/>
      </w:pPr>
      <w:r>
        <w:drawing>
          <wp:inline xmlns:a="http://schemas.openxmlformats.org/drawingml/2006/main" xmlns:pic="http://schemas.openxmlformats.org/drawingml/2006/picture">
            <wp:extent cx="5303520" cy="2886044"/>
            <wp:docPr id="3" name="Picture 3"/>
            <wp:cNvGraphicFramePr>
              <a:graphicFrameLocks noChangeAspect="1"/>
            </wp:cNvGraphicFramePr>
            <a:graphic>
              <a:graphicData uri="http://schemas.openxmlformats.org/drawingml/2006/picture">
                <pic:pic>
                  <pic:nvPicPr>
                    <pic:cNvPr id="0" name="improved_hybrid_runtime_8000.png"/>
                    <pic:cNvPicPr/>
                  </pic:nvPicPr>
                  <pic:blipFill>
                    <a:blip r:embed="rId11"/>
                    <a:stretch>
                      <a:fillRect/>
                    </a:stretch>
                  </pic:blipFill>
                  <pic:spPr>
                    <a:xfrm>
                      <a:off x="0" y="0"/>
                      <a:ext cx="5303520" cy="2886044"/>
                    </a:xfrm>
                    <a:prstGeom prst="rect"/>
                  </pic:spPr>
                </pic:pic>
              </a:graphicData>
            </a:graphic>
          </wp:inline>
        </w:drawing>
      </w:r>
    </w:p>
    <w:p>
      <w:pPr>
        <w:spacing w:after="200"/>
        <w:jc w:val="center"/>
      </w:pPr>
      <w:r>
        <w:rPr>
          <w:i/>
          <w:color w:val="2E3A59"/>
          <w:sz w:val="18"/>
        </w:rPr>
        <w:t>Figure 3.  Average runtime vs. merge size at budget = 8,000 tokens (hybrid scoring). At merge_size = 50, Exact-DP reaches 1.83 s while Greedy-Ratio stays at 1.6 ms — a 1,125× gap.</w:t>
      </w:r>
    </w:p>
    <w:p>
      <w:pPr>
        <w:pStyle w:val="Heading2"/>
        <w:spacing w:before="160" w:after="80"/>
      </w:pPr>
      <w:r>
        <w:rPr>
          <w:color w:val="2E3A59"/>
        </w:rPr>
        <w:t>4.1  Runtime Summary at the Hardest Setting</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232"/>
            <w:shd w:val="clear" w:color="auto" w:fill="1A234E"/>
          </w:tcPr>
          <w:p>
            <w:pPr>
              <w:jc w:val="center"/>
            </w:pPr>
            <w:r>
              <w:rPr>
                <w:b/>
                <w:color w:val="FFFFFF"/>
                <w:sz w:val="18"/>
              </w:rPr>
              <w:t>Algorithm</w:t>
            </w:r>
          </w:p>
        </w:tc>
        <w:tc>
          <w:tcPr>
            <w:tcW w:type="dxa" w:w="2232"/>
            <w:shd w:val="clear" w:color="auto" w:fill="1A234E"/>
          </w:tcPr>
          <w:p>
            <w:pPr>
              <w:jc w:val="center"/>
            </w:pPr>
            <w:r>
              <w:rPr>
                <w:b/>
                <w:color w:val="FFFFFF"/>
                <w:sz w:val="18"/>
              </w:rPr>
              <w:t>Avg Runtime (s)  [merge=50, budget=8,000]</w:t>
            </w:r>
          </w:p>
        </w:tc>
        <w:tc>
          <w:tcPr>
            <w:tcW w:type="dxa" w:w="2232"/>
            <w:shd w:val="clear" w:color="auto" w:fill="1A234E"/>
          </w:tcPr>
          <w:p>
            <w:pPr>
              <w:jc w:val="center"/>
            </w:pPr>
            <w:r>
              <w:rPr>
                <w:b/>
                <w:color w:val="FFFFFF"/>
                <w:sz w:val="18"/>
              </w:rPr>
              <w:t>Speedup vs. Exact-DP</w:t>
            </w:r>
          </w:p>
        </w:tc>
        <w:tc>
          <w:tcPr>
            <w:tcW w:type="dxa" w:w="2232"/>
            <w:shd w:val="clear" w:color="auto" w:fill="1A234E"/>
          </w:tcPr>
          <w:p>
            <w:pPr>
              <w:jc w:val="center"/>
            </w:pPr>
            <w:r>
              <w:rPr>
                <w:b/>
                <w:color w:val="FFFFFF"/>
                <w:sz w:val="18"/>
              </w:rPr>
              <w:t>vs. Lexical Runtime</w:t>
            </w:r>
          </w:p>
        </w:tc>
      </w:tr>
      <w:tr>
        <w:tc>
          <w:tcPr>
            <w:tcW w:type="dxa" w:w="2232"/>
            <w:shd w:val="clear" w:color="auto" w:fill="E8EEF5"/>
          </w:tcPr>
          <w:p>
            <w:pPr>
              <w:jc w:val="center"/>
            </w:pPr>
            <w:r>
              <w:rPr>
                <w:sz w:val="18"/>
              </w:rPr>
              <w:t>Exact-DP</w:t>
            </w:r>
          </w:p>
        </w:tc>
        <w:tc>
          <w:tcPr>
            <w:tcW w:type="dxa" w:w="2232"/>
            <w:shd w:val="clear" w:color="auto" w:fill="E8EEF5"/>
          </w:tcPr>
          <w:p>
            <w:pPr>
              <w:jc w:val="center"/>
            </w:pPr>
            <w:r>
              <w:rPr>
                <w:sz w:val="18"/>
              </w:rPr>
              <w:t>1.826</w:t>
            </w:r>
          </w:p>
        </w:tc>
        <w:tc>
          <w:tcPr>
            <w:tcW w:type="dxa" w:w="2232"/>
            <w:shd w:val="clear" w:color="auto" w:fill="E8EEF5"/>
          </w:tcPr>
          <w:p>
            <w:pPr>
              <w:jc w:val="center"/>
            </w:pPr>
            <w:r>
              <w:rPr>
                <w:sz w:val="18"/>
              </w:rPr>
              <w:t>1×  (baseline)</w:t>
            </w:r>
          </w:p>
        </w:tc>
        <w:tc>
          <w:tcPr>
            <w:tcW w:type="dxa" w:w="2232"/>
            <w:shd w:val="clear" w:color="auto" w:fill="E8EEF5"/>
          </w:tcPr>
          <w:p>
            <w:pPr>
              <w:jc w:val="center"/>
            </w:pPr>
            <w:r>
              <w:rPr>
                <w:sz w:val="18"/>
              </w:rPr>
              <w:t>−0.31 s  (14% faster than lexical)</w:t>
            </w:r>
          </w:p>
        </w:tc>
      </w:tr>
      <w:tr>
        <w:tc>
          <w:tcPr>
            <w:tcW w:type="dxa" w:w="2232"/>
            <w:shd w:val="clear" w:color="auto" w:fill="FFFFFF"/>
          </w:tcPr>
          <w:p>
            <w:pPr>
              <w:jc w:val="center"/>
            </w:pPr>
            <w:r>
              <w:rPr>
                <w:sz w:val="18"/>
              </w:rPr>
              <w:t>Greedy-Ratio</w:t>
            </w:r>
          </w:p>
        </w:tc>
        <w:tc>
          <w:tcPr>
            <w:tcW w:type="dxa" w:w="2232"/>
            <w:shd w:val="clear" w:color="auto" w:fill="FFFFFF"/>
          </w:tcPr>
          <w:p>
            <w:pPr>
              <w:jc w:val="center"/>
            </w:pPr>
            <w:r>
              <w:rPr>
                <w:sz w:val="18"/>
              </w:rPr>
              <w:t>0.0016</w:t>
            </w:r>
          </w:p>
        </w:tc>
        <w:tc>
          <w:tcPr>
            <w:tcW w:type="dxa" w:w="2232"/>
            <w:shd w:val="clear" w:color="auto" w:fill="FFFFFF"/>
          </w:tcPr>
          <w:p>
            <w:pPr>
              <w:jc w:val="center"/>
            </w:pPr>
            <w:r>
              <w:rPr>
                <w:sz w:val="18"/>
              </w:rPr>
              <w:t>≈ 1,125×  faster</w:t>
            </w:r>
          </w:p>
        </w:tc>
        <w:tc>
          <w:tcPr>
            <w:tcW w:type="dxa" w:w="2232"/>
            <w:shd w:val="clear" w:color="auto" w:fill="FFFFFF"/>
          </w:tcPr>
          <w:p>
            <w:pPr>
              <w:jc w:val="center"/>
            </w:pPr>
            <w:r>
              <w:rPr>
                <w:sz w:val="18"/>
              </w:rPr>
              <w:t>≈ same  (sub-ms, negligible)</w:t>
            </w:r>
          </w:p>
        </w:tc>
      </w:tr>
      <w:tr>
        <w:tc>
          <w:tcPr>
            <w:tcW w:type="dxa" w:w="2232"/>
            <w:shd w:val="clear" w:color="auto" w:fill="E8EEF5"/>
          </w:tcPr>
          <w:p>
            <w:pPr>
              <w:jc w:val="center"/>
            </w:pPr>
            <w:r>
              <w:rPr>
                <w:sz w:val="18"/>
              </w:rPr>
              <w:t>Greedy-Refine</w:t>
            </w:r>
          </w:p>
        </w:tc>
        <w:tc>
          <w:tcPr>
            <w:tcW w:type="dxa" w:w="2232"/>
            <w:shd w:val="clear" w:color="auto" w:fill="E8EEF5"/>
          </w:tcPr>
          <w:p>
            <w:pPr>
              <w:jc w:val="center"/>
            </w:pPr>
            <w:r>
              <w:rPr>
                <w:sz w:val="18"/>
              </w:rPr>
              <w:t>0.0529</w:t>
            </w:r>
          </w:p>
        </w:tc>
        <w:tc>
          <w:tcPr>
            <w:tcW w:type="dxa" w:w="2232"/>
            <w:shd w:val="clear" w:color="auto" w:fill="E8EEF5"/>
          </w:tcPr>
          <w:p>
            <w:pPr>
              <w:jc w:val="center"/>
            </w:pPr>
            <w:r>
              <w:rPr>
                <w:sz w:val="18"/>
              </w:rPr>
              <w:t>≈  35×   faster</w:t>
            </w:r>
          </w:p>
        </w:tc>
        <w:tc>
          <w:tcPr>
            <w:tcW w:type="dxa" w:w="2232"/>
            <w:shd w:val="clear" w:color="auto" w:fill="E8EEF5"/>
          </w:tcPr>
          <w:p>
            <w:pPr>
              <w:jc w:val="center"/>
            </w:pPr>
            <w:r>
              <w:rPr>
                <w:sz w:val="18"/>
              </w:rPr>
              <w:t>≈ 2.8×  slower than lexical</w:t>
            </w:r>
          </w:p>
        </w:tc>
      </w:tr>
    </w:tbl>
    <w:p>
      <w:pPr>
        <w:spacing w:before="80"/>
        <w:jc w:val="center"/>
      </w:pPr>
      <w:r>
        <w:rPr>
          <w:i/>
          <w:color w:val="2E3A59"/>
          <w:sz w:val="18"/>
        </w:rPr>
        <w:t>Table 5  —  Runtime comparison at merge_size=50, budget=8,000 (hybrid vs. lexical baseline).</w:t>
      </w:r>
    </w:p>
    <w:p/>
    <w:tbl>
      <w:tblPr>
        <w:tblW w:type="auto" w:w="0"/>
        <w:jc w:val="center"/>
        <w:tblLook w:firstColumn="1" w:firstRow="1" w:lastColumn="0" w:lastRow="0" w:noHBand="0" w:noVBand="1" w:val="04A0"/>
      </w:tblPr>
      <w:tblGrid>
        <w:gridCol w:w="8928"/>
      </w:tblGrid>
      <w:tr>
        <w:tc>
          <w:tcPr>
            <w:tcW w:type="dxa" w:w="8928"/>
            <w:shd w:val="clear" w:color="auto" w:fill="F0F4F8"/>
            <w:tcBorders>
              <w:top w:sz="8" w:val="single" w:color="C89A2B"/>
              <w:bottom w:sz="8" w:val="single" w:color="C89A2B"/>
              <w:left w:sz="24" w:val="single" w:color="0D7C8F"/>
              <w:right w:sz="8" w:val="single" w:color="C89A2B"/>
            </w:tcBorders>
          </w:tcPr>
          <w:p>
            <w:pPr>
              <w:spacing w:before="80" w:after="80"/>
              <w:ind w:left="120"/>
            </w:pPr>
            <w:r>
              <w:rPr>
                <w:b/>
                <w:color w:val="0D7C8F"/>
                <w:sz w:val="20"/>
              </w:rPr>
              <w:t xml:space="preserve">▶  Key Finding:  </w:t>
            </w:r>
            <w:r>
              <w:rPr>
                <w:color w:val="2E3A59"/>
                <w:sz w:val="20"/>
              </w:rPr>
              <w:t>At the hardest setting, Greedy-Ratio remained ~1,125× faster than Exact-DP. Greedy-Refine's speedup advantage over Exact-DP narrowed from 114× (lexical) to just 35× (hybrid) — because the richer utility landscape created more profitable swap candidates for the local-search pass to explore.</w:t>
            </w:r>
          </w:p>
        </w:tc>
      </w:tr>
    </w:tbl>
    <w:p/>
    <w:p>
      <w:pPr>
        <w:pStyle w:val="Heading2"/>
        <w:spacing w:before="160" w:after="80"/>
      </w:pPr>
      <w:r>
        <w:rPr>
          <w:color w:val="2E3A59"/>
        </w:rPr>
        <w:t>4.2  Why Greedy-Refine Slowed Down Under Hybrid Scoring</w:t>
      </w:r>
    </w:p>
    <w:p>
      <w:pPr>
        <w:spacing w:after="120"/>
      </w:pPr>
      <w:r>
        <w:rPr>
          <w:b w:val="0"/>
          <w:i w:val="0"/>
          <w:sz w:val="22"/>
        </w:rPr>
        <w:t>In the lexical experiment, Greedy-Refine averaged roughly 14–19 ms at budget = 8,000. Under hybrid scoring, this grew to 41–53 ms — roughly a 2.8× increase. The explanation lies in the structure of the utility landscape. Lexical scores are sparse: most chunks have very low overlap with the query. The greedy solution therefore packs the top few high-ratio chunks quickly, leaving few attractive swap candidates.</w:t>
      </w:r>
    </w:p>
    <w:p>
      <w:pPr>
        <w:spacing w:after="120"/>
      </w:pPr>
      <w:r>
        <w:rPr>
          <w:b w:val="0"/>
          <w:i w:val="0"/>
          <w:sz w:val="22"/>
        </w:rPr>
        <w:t>Semantic scores, by contrast, are distributed more continuously: many chunks have moderate semantic similarity to the query, creating a denser candidate space. This means the local-search refinement finds more potential swap pairs to evaluate, increasing iteration count and therefore runtime. The silver lining — that more swaps are available — did not translate into quality gains because the greedy initialisation was already near-optimal.</w:t>
      </w:r>
    </w:p>
    <w:p>
      <w:pPr>
        <w:spacing w:before="120" w:after="40"/>
        <w:jc w:val="center"/>
      </w:pPr>
      <w:r>
        <w:drawing>
          <wp:inline xmlns:a="http://schemas.openxmlformats.org/drawingml/2006/main" xmlns:pic="http://schemas.openxmlformats.org/drawingml/2006/picture">
            <wp:extent cx="5303520" cy="2904209"/>
            <wp:docPr id="4" name="Picture 4"/>
            <wp:cNvGraphicFramePr>
              <a:graphicFrameLocks noChangeAspect="1"/>
            </wp:cNvGraphicFramePr>
            <a:graphic>
              <a:graphicData uri="http://schemas.openxmlformats.org/drawingml/2006/picture">
                <pic:pic>
                  <pic:nvPicPr>
                    <pic:cNvPr id="0" name="improved_hybrid_greedy_detail.png"/>
                    <pic:cNvPicPr/>
                  </pic:nvPicPr>
                  <pic:blipFill>
                    <a:blip r:embed="rId12"/>
                    <a:stretch>
                      <a:fillRect/>
                    </a:stretch>
                  </pic:blipFill>
                  <pic:spPr>
                    <a:xfrm>
                      <a:off x="0" y="0"/>
                      <a:ext cx="5303520" cy="2904209"/>
                    </a:xfrm>
                    <a:prstGeom prst="rect"/>
                  </pic:spPr>
                </pic:pic>
              </a:graphicData>
            </a:graphic>
          </wp:inline>
        </w:drawing>
      </w:r>
    </w:p>
    <w:p>
      <w:pPr>
        <w:spacing w:after="200"/>
        <w:jc w:val="center"/>
      </w:pPr>
      <w:r>
        <w:rPr>
          <w:i/>
          <w:color w:val="2E3A59"/>
          <w:sz w:val="18"/>
        </w:rPr>
        <w:t>Figure 4.  Zoomed view of Greedy-Ratio vs. Greedy-Refine runtime at budget = 8,000 (hybrid). Greedy-Refine grows noticeably from merge_size=10 to 20 (as the swap candidate pool expands), then grows more gradually. Greedy-Ratio remains essentially flat.</w:t>
      </w:r>
    </w:p>
    <w:p>
      <w:pPr>
        <w:pBdr>
          <w:bottom w:val="single" w:sz="4" w:space="1" w:color="0D7C8F"/>
        </w:pBdr>
        <w:spacing w:after="160"/>
      </w:pPr>
    </w:p>
    <w:p>
      <w:pPr>
        <w:pStyle w:val="Heading1"/>
        <w:spacing w:before="280" w:after="80"/>
      </w:pPr>
      <w:r>
        <w:rPr>
          <w:color w:val="1A234E"/>
        </w:rPr>
        <w:t>5  Quality Comparison: Lexical vs. Hybrid</w:t>
      </w:r>
    </w:p>
    <w:p>
      <w:pPr>
        <w:spacing w:after="160"/>
      </w:pPr>
      <w:r>
        <w:rPr>
          <w:b w:val="0"/>
          <w:i w:val="0"/>
          <w:sz w:val="22"/>
        </w:rPr>
        <w:t>Tables 6–7 and Figures 5–7 compare the two scoring regimes across all algorithms. Numbers in the aggregate comparison table are averaged over all 15 (merge_size, budget) conditions.</w:t>
      </w:r>
    </w:p>
    <w:p>
      <w:pPr>
        <w:pStyle w:val="Heading2"/>
        <w:spacing w:before="160" w:after="80"/>
      </w:pPr>
      <w:r>
        <w:rPr>
          <w:color w:val="2E3A59"/>
        </w:rPr>
        <w:t>5.1  Aggregate Comparison (all conditions)</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275"/>
            <w:shd w:val="clear" w:color="auto" w:fill="1A234E"/>
          </w:tcPr>
          <w:p>
            <w:pPr>
              <w:jc w:val="center"/>
            </w:pPr>
            <w:r>
              <w:rPr>
                <w:b/>
                <w:color w:val="FFFFFF"/>
                <w:sz w:val="18"/>
              </w:rPr>
              <w:t>Algorithm</w:t>
            </w:r>
          </w:p>
        </w:tc>
        <w:tc>
          <w:tcPr>
            <w:tcW w:type="dxa" w:w="1275"/>
            <w:shd w:val="clear" w:color="auto" w:fill="1A234E"/>
          </w:tcPr>
          <w:p>
            <w:pPr>
              <w:jc w:val="center"/>
            </w:pPr>
            <w:r>
              <w:rPr>
                <w:b/>
                <w:color w:val="FFFFFF"/>
                <w:sz w:val="18"/>
              </w:rPr>
              <w:t>Lexical Recall</w:t>
            </w:r>
          </w:p>
        </w:tc>
        <w:tc>
          <w:tcPr>
            <w:tcW w:type="dxa" w:w="1275"/>
            <w:shd w:val="clear" w:color="auto" w:fill="1A234E"/>
          </w:tcPr>
          <w:p>
            <w:pPr>
              <w:jc w:val="center"/>
            </w:pPr>
            <w:r>
              <w:rPr>
                <w:b/>
                <w:color w:val="FFFFFF"/>
                <w:sz w:val="18"/>
              </w:rPr>
              <w:t>Hybrid Recall</w:t>
            </w:r>
          </w:p>
        </w:tc>
        <w:tc>
          <w:tcPr>
            <w:tcW w:type="dxa" w:w="1275"/>
            <w:shd w:val="clear" w:color="auto" w:fill="1A234E"/>
          </w:tcPr>
          <w:p>
            <w:pPr>
              <w:jc w:val="center"/>
            </w:pPr>
            <w:r>
              <w:rPr>
                <w:b/>
                <w:color w:val="FFFFFF"/>
                <w:sz w:val="18"/>
              </w:rPr>
              <w:t>Δ Recall</w:t>
            </w:r>
          </w:p>
        </w:tc>
        <w:tc>
          <w:tcPr>
            <w:tcW w:type="dxa" w:w="1275"/>
            <w:shd w:val="clear" w:color="auto" w:fill="1A234E"/>
          </w:tcPr>
          <w:p>
            <w:pPr>
              <w:jc w:val="center"/>
            </w:pPr>
            <w:r>
              <w:rPr>
                <w:b/>
                <w:color w:val="FFFFFF"/>
                <w:sz w:val="18"/>
              </w:rPr>
              <w:t>Lexical Exact Cov.</w:t>
            </w:r>
          </w:p>
        </w:tc>
        <w:tc>
          <w:tcPr>
            <w:tcW w:type="dxa" w:w="1275"/>
            <w:shd w:val="clear" w:color="auto" w:fill="1A234E"/>
          </w:tcPr>
          <w:p>
            <w:pPr>
              <w:jc w:val="center"/>
            </w:pPr>
            <w:r>
              <w:rPr>
                <w:b/>
                <w:color w:val="FFFFFF"/>
                <w:sz w:val="18"/>
              </w:rPr>
              <w:t>Hybrid Exact Cov.</w:t>
            </w:r>
          </w:p>
        </w:tc>
        <w:tc>
          <w:tcPr>
            <w:tcW w:type="dxa" w:w="1275"/>
            <w:shd w:val="clear" w:color="auto" w:fill="1A234E"/>
          </w:tcPr>
          <w:p>
            <w:pPr>
              <w:jc w:val="center"/>
            </w:pPr>
            <w:r>
              <w:rPr>
                <w:b/>
                <w:color w:val="FFFFFF"/>
                <w:sz w:val="18"/>
              </w:rPr>
              <w:t>Δ Exact Cov.</w:t>
            </w:r>
          </w:p>
        </w:tc>
      </w:tr>
      <w:tr>
        <w:tc>
          <w:tcPr>
            <w:tcW w:type="dxa" w:w="1275"/>
            <w:shd w:val="clear" w:color="auto" w:fill="E8EEF5"/>
          </w:tcPr>
          <w:p>
            <w:pPr>
              <w:jc w:val="center"/>
            </w:pPr>
            <w:r>
              <w:rPr>
                <w:sz w:val="18"/>
              </w:rPr>
              <w:t>Exact-DP</w:t>
            </w:r>
          </w:p>
        </w:tc>
        <w:tc>
          <w:tcPr>
            <w:tcW w:type="dxa" w:w="1275"/>
            <w:shd w:val="clear" w:color="auto" w:fill="E8EEF5"/>
          </w:tcPr>
          <w:p>
            <w:pPr>
              <w:jc w:val="center"/>
            </w:pPr>
            <w:r>
              <w:rPr>
                <w:sz w:val="18"/>
              </w:rPr>
              <w:t>0.864</w:t>
            </w:r>
          </w:p>
        </w:tc>
        <w:tc>
          <w:tcPr>
            <w:tcW w:type="dxa" w:w="1275"/>
            <w:shd w:val="clear" w:color="auto" w:fill="E8EEF5"/>
          </w:tcPr>
          <w:p>
            <w:pPr>
              <w:jc w:val="center"/>
            </w:pPr>
            <w:r>
              <w:rPr>
                <w:sz w:val="18"/>
              </w:rPr>
              <w:t>0.867</w:t>
            </w:r>
          </w:p>
        </w:tc>
        <w:tc>
          <w:tcPr>
            <w:tcW w:type="dxa" w:w="1275"/>
            <w:shd w:val="clear" w:color="auto" w:fill="E8EEF5"/>
          </w:tcPr>
          <w:p>
            <w:pPr>
              <w:jc w:val="center"/>
            </w:pPr>
            <w:r>
              <w:rPr>
                <w:sz w:val="18"/>
              </w:rPr>
              <w:t>+0.003</w:t>
            </w:r>
          </w:p>
        </w:tc>
        <w:tc>
          <w:tcPr>
            <w:tcW w:type="dxa" w:w="1275"/>
            <w:shd w:val="clear" w:color="auto" w:fill="E8EEF5"/>
          </w:tcPr>
          <w:p>
            <w:pPr>
              <w:jc w:val="center"/>
            </w:pPr>
            <w:r>
              <w:rPr>
                <w:sz w:val="18"/>
              </w:rPr>
              <w:t>0.660</w:t>
            </w:r>
          </w:p>
        </w:tc>
        <w:tc>
          <w:tcPr>
            <w:tcW w:type="dxa" w:w="1275"/>
            <w:shd w:val="clear" w:color="auto" w:fill="E8EEF5"/>
          </w:tcPr>
          <w:p>
            <w:pPr>
              <w:jc w:val="center"/>
            </w:pPr>
            <w:r>
              <w:rPr>
                <w:sz w:val="18"/>
              </w:rPr>
              <w:t>0.727</w:t>
            </w:r>
          </w:p>
        </w:tc>
        <w:tc>
          <w:tcPr>
            <w:tcW w:type="dxa" w:w="1275"/>
            <w:shd w:val="clear" w:color="auto" w:fill="E8EEF5"/>
          </w:tcPr>
          <w:p>
            <w:pPr>
              <w:jc w:val="center"/>
            </w:pPr>
            <w:r>
              <w:rPr>
                <w:sz w:val="18"/>
              </w:rPr>
              <w:t>+0.067 ↑</w:t>
            </w:r>
          </w:p>
        </w:tc>
      </w:tr>
      <w:tr>
        <w:tc>
          <w:tcPr>
            <w:tcW w:type="dxa" w:w="1275"/>
            <w:shd w:val="clear" w:color="auto" w:fill="FFFFFF"/>
          </w:tcPr>
          <w:p>
            <w:pPr>
              <w:jc w:val="center"/>
            </w:pPr>
            <w:r>
              <w:rPr>
                <w:sz w:val="18"/>
              </w:rPr>
              <w:t>Greedy-Ratio</w:t>
            </w:r>
          </w:p>
        </w:tc>
        <w:tc>
          <w:tcPr>
            <w:tcW w:type="dxa" w:w="1275"/>
            <w:shd w:val="clear" w:color="auto" w:fill="FFFFFF"/>
          </w:tcPr>
          <w:p>
            <w:pPr>
              <w:jc w:val="center"/>
            </w:pPr>
            <w:r>
              <w:rPr>
                <w:sz w:val="18"/>
              </w:rPr>
              <w:t>0.867</w:t>
            </w:r>
          </w:p>
        </w:tc>
        <w:tc>
          <w:tcPr>
            <w:tcW w:type="dxa" w:w="1275"/>
            <w:shd w:val="clear" w:color="auto" w:fill="FFFFFF"/>
          </w:tcPr>
          <w:p>
            <w:pPr>
              <w:jc w:val="center"/>
            </w:pPr>
            <w:r>
              <w:rPr>
                <w:sz w:val="18"/>
              </w:rPr>
              <w:t>0.866</w:t>
            </w:r>
          </w:p>
        </w:tc>
        <w:tc>
          <w:tcPr>
            <w:tcW w:type="dxa" w:w="1275"/>
            <w:shd w:val="clear" w:color="auto" w:fill="FFFFFF"/>
          </w:tcPr>
          <w:p>
            <w:pPr>
              <w:jc w:val="center"/>
            </w:pPr>
            <w:r>
              <w:rPr>
                <w:sz w:val="18"/>
              </w:rPr>
              <w:t>−0.001</w:t>
            </w:r>
          </w:p>
        </w:tc>
        <w:tc>
          <w:tcPr>
            <w:tcW w:type="dxa" w:w="1275"/>
            <w:shd w:val="clear" w:color="auto" w:fill="FFFFFF"/>
          </w:tcPr>
          <w:p>
            <w:pPr>
              <w:jc w:val="center"/>
            </w:pPr>
            <w:r>
              <w:rPr>
                <w:sz w:val="18"/>
              </w:rPr>
              <w:t>0.667</w:t>
            </w:r>
          </w:p>
        </w:tc>
        <w:tc>
          <w:tcPr>
            <w:tcW w:type="dxa" w:w="1275"/>
            <w:shd w:val="clear" w:color="auto" w:fill="FFFFFF"/>
          </w:tcPr>
          <w:p>
            <w:pPr>
              <w:jc w:val="center"/>
            </w:pPr>
            <w:r>
              <w:rPr>
                <w:sz w:val="18"/>
              </w:rPr>
              <w:t>0.723</w:t>
            </w:r>
          </w:p>
        </w:tc>
        <w:tc>
          <w:tcPr>
            <w:tcW w:type="dxa" w:w="1275"/>
            <w:shd w:val="clear" w:color="auto" w:fill="FFFFFF"/>
          </w:tcPr>
          <w:p>
            <w:pPr>
              <w:jc w:val="center"/>
            </w:pPr>
            <w:r>
              <w:rPr>
                <w:sz w:val="18"/>
              </w:rPr>
              <w:t>+0.056 ↑</w:t>
            </w:r>
          </w:p>
        </w:tc>
      </w:tr>
      <w:tr>
        <w:tc>
          <w:tcPr>
            <w:tcW w:type="dxa" w:w="1275"/>
            <w:shd w:val="clear" w:color="auto" w:fill="E8EEF5"/>
          </w:tcPr>
          <w:p>
            <w:pPr>
              <w:jc w:val="center"/>
            </w:pPr>
            <w:r>
              <w:rPr>
                <w:sz w:val="18"/>
              </w:rPr>
              <w:t>Greedy-Refine</w:t>
            </w:r>
          </w:p>
        </w:tc>
        <w:tc>
          <w:tcPr>
            <w:tcW w:type="dxa" w:w="1275"/>
            <w:shd w:val="clear" w:color="auto" w:fill="E8EEF5"/>
          </w:tcPr>
          <w:p>
            <w:pPr>
              <w:jc w:val="center"/>
            </w:pPr>
            <w:r>
              <w:rPr>
                <w:sz w:val="18"/>
              </w:rPr>
              <w:t>0.867</w:t>
            </w:r>
          </w:p>
        </w:tc>
        <w:tc>
          <w:tcPr>
            <w:tcW w:type="dxa" w:w="1275"/>
            <w:shd w:val="clear" w:color="auto" w:fill="E8EEF5"/>
          </w:tcPr>
          <w:p>
            <w:pPr>
              <w:jc w:val="center"/>
            </w:pPr>
            <w:r>
              <w:rPr>
                <w:sz w:val="18"/>
              </w:rPr>
              <w:t>0.866</w:t>
            </w:r>
          </w:p>
        </w:tc>
        <w:tc>
          <w:tcPr>
            <w:tcW w:type="dxa" w:w="1275"/>
            <w:shd w:val="clear" w:color="auto" w:fill="E8EEF5"/>
          </w:tcPr>
          <w:p>
            <w:pPr>
              <w:jc w:val="center"/>
            </w:pPr>
            <w:r>
              <w:rPr>
                <w:sz w:val="18"/>
              </w:rPr>
              <w:t>−0.001</w:t>
            </w:r>
          </w:p>
        </w:tc>
        <w:tc>
          <w:tcPr>
            <w:tcW w:type="dxa" w:w="1275"/>
            <w:shd w:val="clear" w:color="auto" w:fill="E8EEF5"/>
          </w:tcPr>
          <w:p>
            <w:pPr>
              <w:jc w:val="center"/>
            </w:pPr>
            <w:r>
              <w:rPr>
                <w:sz w:val="18"/>
              </w:rPr>
              <w:t>0.667</w:t>
            </w:r>
          </w:p>
        </w:tc>
        <w:tc>
          <w:tcPr>
            <w:tcW w:type="dxa" w:w="1275"/>
            <w:shd w:val="clear" w:color="auto" w:fill="E8EEF5"/>
          </w:tcPr>
          <w:p>
            <w:pPr>
              <w:jc w:val="center"/>
            </w:pPr>
            <w:r>
              <w:rPr>
                <w:sz w:val="18"/>
              </w:rPr>
              <w:t>0.723</w:t>
            </w:r>
          </w:p>
        </w:tc>
        <w:tc>
          <w:tcPr>
            <w:tcW w:type="dxa" w:w="1275"/>
            <w:shd w:val="clear" w:color="auto" w:fill="E8EEF5"/>
          </w:tcPr>
          <w:p>
            <w:pPr>
              <w:jc w:val="center"/>
            </w:pPr>
            <w:r>
              <w:rPr>
                <w:sz w:val="18"/>
              </w:rPr>
              <w:t>+0.056 ↑</w:t>
            </w:r>
          </w:p>
        </w:tc>
      </w:tr>
    </w:tbl>
    <w:p>
      <w:pPr>
        <w:spacing w:before="80"/>
        <w:jc w:val="center"/>
      </w:pPr>
      <w:r>
        <w:rPr>
          <w:i/>
          <w:color w:val="2E3A59"/>
          <w:sz w:val="18"/>
        </w:rPr>
        <w:t>Table 6  —  Lexical vs. Hybrid aggregate quality comparison (all 15 conditions).</w:t>
      </w:r>
    </w:p>
    <w:p/>
    <w:tbl>
      <w:tblPr>
        <w:tblW w:type="auto" w:w="0"/>
        <w:jc w:val="center"/>
        <w:tblLook w:firstColumn="1" w:firstRow="1" w:lastColumn="0" w:lastRow="0" w:noHBand="0" w:noVBand="1" w:val="04A0"/>
      </w:tblPr>
      <w:tblGrid>
        <w:gridCol w:w="8928"/>
      </w:tblGrid>
      <w:tr>
        <w:tc>
          <w:tcPr>
            <w:tcW w:type="dxa" w:w="8928"/>
            <w:shd w:val="clear" w:color="auto" w:fill="F0F4F8"/>
            <w:tcBorders>
              <w:top w:sz="8" w:val="single" w:color="C89A2B"/>
              <w:bottom w:sz="8" w:val="single" w:color="C89A2B"/>
              <w:left w:sz="24" w:val="single" w:color="0D7C8F"/>
              <w:right w:sz="8" w:val="single" w:color="C89A2B"/>
            </w:tcBorders>
          </w:tcPr>
          <w:p>
            <w:pPr>
              <w:spacing w:before="80" w:after="80"/>
              <w:ind w:left="120"/>
            </w:pPr>
            <w:r>
              <w:rPr>
                <w:b/>
                <w:color w:val="0D7C8F"/>
                <w:sz w:val="20"/>
              </w:rPr>
              <w:t xml:space="preserve">▶  Key Finding:  </w:t>
            </w:r>
            <w:r>
              <w:rPr>
                <w:color w:val="2E3A59"/>
                <w:sz w:val="20"/>
              </w:rPr>
              <w:t>Hybrid scoring improved exact support coverage by +5.6 to +6.7 percentage points while support recall remained essentially flat. This tells us that semantic scoring helped the algorithms tip borderline instances over the threshold for complete coverage — but partial recall was already high with lexical scoring alone.</w:t>
            </w:r>
          </w:p>
        </w:tc>
      </w:tr>
    </w:tbl>
    <w:p/>
    <w:p>
      <w:pPr>
        <w:pStyle w:val="Heading2"/>
        <w:spacing w:before="160" w:after="80"/>
      </w:pPr>
      <w:r>
        <w:rPr>
          <w:color w:val="2E3A59"/>
        </w:rPr>
        <w:t>5.2  Why Coverage Improved but Recall Did Not</w:t>
      </w:r>
    </w:p>
    <w:p>
      <w:pPr>
        <w:spacing w:after="120"/>
      </w:pPr>
      <w:r>
        <w:rPr>
          <w:b w:val="0"/>
          <w:i w:val="0"/>
          <w:sz w:val="22"/>
        </w:rPr>
        <w:t>This is the most algorithmically interesting result of the hybrid experiment. Support recall measures what fraction of gold-support sentences were included in the selection — a partial metric. Exact coverage measures whether all support sentences were included — an all-or-nothing metric. The divergence between these two metrics reveals something specific about how hybrid scoring changes the selection:</w:t>
      </w:r>
    </w:p>
    <w:p>
      <w:pPr>
        <w:pStyle w:val="ListBullet"/>
        <w:spacing w:after="80"/>
      </w:pPr>
      <w:r>
        <w:rPr>
          <w:sz w:val="22"/>
        </w:rPr>
        <w:t>With lexical scoring, some gold-support sentences that paraphrase the query (rather than sharing its keywords) received low utility scores and were deprioritised. The rest of the support set was still recovered — hence high recall — but these missed sentences prevented full coverage.</w:t>
      </w:r>
    </w:p>
    <w:p>
      <w:pPr>
        <w:pStyle w:val="ListBullet"/>
        <w:spacing w:after="80"/>
      </w:pPr>
      <w:r>
        <w:rPr>
          <w:sz w:val="22"/>
        </w:rPr>
        <w:t>With hybrid scoring, semantic similarity scores elevated these paraphrase-heavy support sentences, tipping them into the selected set. On many instances where lexical selection was one sentence short of full coverage, hybrid selection closed that gap.</w:t>
      </w:r>
    </w:p>
    <w:p>
      <w:pPr>
        <w:pStyle w:val="ListBullet"/>
        <w:spacing w:after="80"/>
      </w:pPr>
      <w:r>
        <w:rPr>
          <w:sz w:val="22"/>
        </w:rPr>
        <w:t>Because only a few sentences per instance needed to be re-ranked, the improvement shows up sharply in full-coverage counts (a discrete event) but barely registers in continuous recall averages.</w:t>
      </w:r>
    </w:p>
    <w:p/>
    <w:p>
      <w:pPr>
        <w:pStyle w:val="Heading2"/>
        <w:spacing w:before="160" w:after="80"/>
      </w:pPr>
      <w:r>
        <w:rPr>
          <w:color w:val="2E3A59"/>
        </w:rPr>
        <w:t>5.3  Budget-Stratified Comparison at Budget = 8,000</w:t>
      </w:r>
    </w:p>
    <w:p>
      <w:pPr>
        <w:spacing w:after="120"/>
      </w:pPr>
      <w:r>
        <w:rPr>
          <w:b w:val="0"/>
          <w:i w:val="0"/>
          <w:sz w:val="22"/>
        </w:rPr>
        <w:t>The aggregate numbers above compress across budget levels. The improvement is most pronounced at budget = 8,000, where enough tokens are available for semantic guidance to meaningfully differentiate borderline chunks.</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488"/>
            <w:shd w:val="clear" w:color="auto" w:fill="1A234E"/>
          </w:tcPr>
          <w:p>
            <w:pPr>
              <w:jc w:val="center"/>
            </w:pPr>
            <w:r>
              <w:rPr>
                <w:b/>
                <w:color w:val="FFFFFF"/>
                <w:sz w:val="18"/>
              </w:rPr>
              <w:t>Algorithm</w:t>
            </w:r>
          </w:p>
        </w:tc>
        <w:tc>
          <w:tcPr>
            <w:tcW w:type="dxa" w:w="1488"/>
            <w:shd w:val="clear" w:color="auto" w:fill="1A234E"/>
          </w:tcPr>
          <w:p>
            <w:pPr>
              <w:jc w:val="center"/>
            </w:pPr>
            <w:r>
              <w:rPr>
                <w:b/>
                <w:color w:val="FFFFFF"/>
                <w:sz w:val="18"/>
              </w:rPr>
              <w:t>Lex Recall (B=8k)</w:t>
            </w:r>
          </w:p>
        </w:tc>
        <w:tc>
          <w:tcPr>
            <w:tcW w:type="dxa" w:w="1488"/>
            <w:shd w:val="clear" w:color="auto" w:fill="1A234E"/>
          </w:tcPr>
          <w:p>
            <w:pPr>
              <w:jc w:val="center"/>
            </w:pPr>
            <w:r>
              <w:rPr>
                <w:b/>
                <w:color w:val="FFFFFF"/>
                <w:sz w:val="18"/>
              </w:rPr>
              <w:t>Hyb Recall (B=8k)</w:t>
            </w:r>
          </w:p>
        </w:tc>
        <w:tc>
          <w:tcPr>
            <w:tcW w:type="dxa" w:w="1488"/>
            <w:shd w:val="clear" w:color="auto" w:fill="1A234E"/>
          </w:tcPr>
          <w:p>
            <w:pPr>
              <w:jc w:val="center"/>
            </w:pPr>
            <w:r>
              <w:rPr>
                <w:b/>
                <w:color w:val="FFFFFF"/>
                <w:sz w:val="18"/>
              </w:rPr>
              <w:t>Lex Exact Cov. (B=8k)</w:t>
            </w:r>
          </w:p>
        </w:tc>
        <w:tc>
          <w:tcPr>
            <w:tcW w:type="dxa" w:w="1488"/>
            <w:shd w:val="clear" w:color="auto" w:fill="1A234E"/>
          </w:tcPr>
          <w:p>
            <w:pPr>
              <w:jc w:val="center"/>
            </w:pPr>
            <w:r>
              <w:rPr>
                <w:b/>
                <w:color w:val="FFFFFF"/>
                <w:sz w:val="18"/>
              </w:rPr>
              <w:t>Hyb Exact Cov. (B=8k)</w:t>
            </w:r>
          </w:p>
        </w:tc>
        <w:tc>
          <w:tcPr>
            <w:tcW w:type="dxa" w:w="1488"/>
            <w:shd w:val="clear" w:color="auto" w:fill="1A234E"/>
          </w:tcPr>
          <w:p>
            <w:pPr>
              <w:jc w:val="center"/>
            </w:pPr>
            <w:r>
              <w:rPr>
                <w:b/>
                <w:color w:val="FFFFFF"/>
                <w:sz w:val="18"/>
              </w:rPr>
              <w:t>Delta Exact Cov.</w:t>
            </w:r>
          </w:p>
        </w:tc>
      </w:tr>
      <w:tr>
        <w:tc>
          <w:tcPr>
            <w:tcW w:type="dxa" w:w="1488"/>
            <w:shd w:val="clear" w:color="auto" w:fill="E8EEF5"/>
          </w:tcPr>
          <w:p>
            <w:pPr>
              <w:jc w:val="center"/>
            </w:pPr>
            <w:r>
              <w:rPr>
                <w:sz w:val="18"/>
              </w:rPr>
              <w:t>Exact-DP</w:t>
            </w:r>
          </w:p>
        </w:tc>
        <w:tc>
          <w:tcPr>
            <w:tcW w:type="dxa" w:w="1488"/>
            <w:shd w:val="clear" w:color="auto" w:fill="E8EEF5"/>
          </w:tcPr>
          <w:p>
            <w:pPr>
              <w:jc w:val="center"/>
            </w:pPr>
            <w:r>
              <w:rPr>
                <w:sz w:val="18"/>
              </w:rPr>
              <w:t>0.906</w:t>
            </w:r>
          </w:p>
        </w:tc>
        <w:tc>
          <w:tcPr>
            <w:tcW w:type="dxa" w:w="1488"/>
            <w:shd w:val="clear" w:color="auto" w:fill="E8EEF5"/>
          </w:tcPr>
          <w:p>
            <w:pPr>
              <w:jc w:val="center"/>
            </w:pPr>
            <w:r>
              <w:rPr>
                <w:sz w:val="18"/>
              </w:rPr>
              <w:t>0.952</w:t>
            </w:r>
          </w:p>
        </w:tc>
        <w:tc>
          <w:tcPr>
            <w:tcW w:type="dxa" w:w="1488"/>
            <w:shd w:val="clear" w:color="auto" w:fill="E8EEF5"/>
          </w:tcPr>
          <w:p>
            <w:pPr>
              <w:jc w:val="center"/>
            </w:pPr>
            <w:r>
              <w:rPr>
                <w:sz w:val="18"/>
              </w:rPr>
              <w:t>0.800</w:t>
            </w:r>
          </w:p>
        </w:tc>
        <w:tc>
          <w:tcPr>
            <w:tcW w:type="dxa" w:w="1488"/>
            <w:shd w:val="clear" w:color="auto" w:fill="E8EEF5"/>
          </w:tcPr>
          <w:p>
            <w:pPr>
              <w:jc w:val="center"/>
            </w:pPr>
            <w:r>
              <w:rPr>
                <w:sz w:val="18"/>
              </w:rPr>
              <w:t>0.880</w:t>
            </w:r>
          </w:p>
        </w:tc>
        <w:tc>
          <w:tcPr>
            <w:tcW w:type="dxa" w:w="1488"/>
            <w:shd w:val="clear" w:color="auto" w:fill="E8EEF5"/>
          </w:tcPr>
          <w:p>
            <w:pPr>
              <w:jc w:val="center"/>
            </w:pPr>
            <w:r>
              <w:rPr>
                <w:sz w:val="18"/>
              </w:rPr>
              <w:t>+0.080 up</w:t>
            </w:r>
          </w:p>
        </w:tc>
      </w:tr>
      <w:tr>
        <w:tc>
          <w:tcPr>
            <w:tcW w:type="dxa" w:w="1488"/>
            <w:shd w:val="clear" w:color="auto" w:fill="FFFFFF"/>
          </w:tcPr>
          <w:p>
            <w:pPr>
              <w:jc w:val="center"/>
            </w:pPr>
            <w:r>
              <w:rPr>
                <w:sz w:val="18"/>
              </w:rPr>
              <w:t>Greedy-Ratio</w:t>
            </w:r>
          </w:p>
        </w:tc>
        <w:tc>
          <w:tcPr>
            <w:tcW w:type="dxa" w:w="1488"/>
            <w:shd w:val="clear" w:color="auto" w:fill="FFFFFF"/>
          </w:tcPr>
          <w:p>
            <w:pPr>
              <w:jc w:val="center"/>
            </w:pPr>
            <w:r>
              <w:rPr>
                <w:sz w:val="18"/>
              </w:rPr>
              <w:t>0.909</w:t>
            </w:r>
          </w:p>
        </w:tc>
        <w:tc>
          <w:tcPr>
            <w:tcW w:type="dxa" w:w="1488"/>
            <w:shd w:val="clear" w:color="auto" w:fill="FFFFFF"/>
          </w:tcPr>
          <w:p>
            <w:pPr>
              <w:jc w:val="center"/>
            </w:pPr>
            <w:r>
              <w:rPr>
                <w:sz w:val="18"/>
              </w:rPr>
              <w:t>0.949</w:t>
            </w:r>
          </w:p>
        </w:tc>
        <w:tc>
          <w:tcPr>
            <w:tcW w:type="dxa" w:w="1488"/>
            <w:shd w:val="clear" w:color="auto" w:fill="FFFFFF"/>
          </w:tcPr>
          <w:p>
            <w:pPr>
              <w:jc w:val="center"/>
            </w:pPr>
            <w:r>
              <w:rPr>
                <w:sz w:val="18"/>
              </w:rPr>
              <w:t>0.800</w:t>
            </w:r>
          </w:p>
        </w:tc>
        <w:tc>
          <w:tcPr>
            <w:tcW w:type="dxa" w:w="1488"/>
            <w:shd w:val="clear" w:color="auto" w:fill="FFFFFF"/>
          </w:tcPr>
          <w:p>
            <w:pPr>
              <w:jc w:val="center"/>
            </w:pPr>
            <w:r>
              <w:rPr>
                <w:sz w:val="18"/>
              </w:rPr>
              <w:t>0.880</w:t>
            </w:r>
          </w:p>
        </w:tc>
        <w:tc>
          <w:tcPr>
            <w:tcW w:type="dxa" w:w="1488"/>
            <w:shd w:val="clear" w:color="auto" w:fill="FFFFFF"/>
          </w:tcPr>
          <w:p>
            <w:pPr>
              <w:jc w:val="center"/>
            </w:pPr>
            <w:r>
              <w:rPr>
                <w:sz w:val="18"/>
              </w:rPr>
              <w:t>+0.080 up</w:t>
            </w:r>
          </w:p>
        </w:tc>
      </w:tr>
      <w:tr>
        <w:tc>
          <w:tcPr>
            <w:tcW w:type="dxa" w:w="1488"/>
            <w:shd w:val="clear" w:color="auto" w:fill="E8EEF5"/>
          </w:tcPr>
          <w:p>
            <w:pPr>
              <w:jc w:val="center"/>
            </w:pPr>
            <w:r>
              <w:rPr>
                <w:sz w:val="18"/>
              </w:rPr>
              <w:t>Greedy-Refine</w:t>
            </w:r>
          </w:p>
        </w:tc>
        <w:tc>
          <w:tcPr>
            <w:tcW w:type="dxa" w:w="1488"/>
            <w:shd w:val="clear" w:color="auto" w:fill="E8EEF5"/>
          </w:tcPr>
          <w:p>
            <w:pPr>
              <w:jc w:val="center"/>
            </w:pPr>
            <w:r>
              <w:rPr>
                <w:sz w:val="18"/>
              </w:rPr>
              <w:t>0.909</w:t>
            </w:r>
          </w:p>
        </w:tc>
        <w:tc>
          <w:tcPr>
            <w:tcW w:type="dxa" w:w="1488"/>
            <w:shd w:val="clear" w:color="auto" w:fill="E8EEF5"/>
          </w:tcPr>
          <w:p>
            <w:pPr>
              <w:jc w:val="center"/>
            </w:pPr>
            <w:r>
              <w:rPr>
                <w:sz w:val="18"/>
              </w:rPr>
              <w:t>0.949</w:t>
            </w:r>
          </w:p>
        </w:tc>
        <w:tc>
          <w:tcPr>
            <w:tcW w:type="dxa" w:w="1488"/>
            <w:shd w:val="clear" w:color="auto" w:fill="E8EEF5"/>
          </w:tcPr>
          <w:p>
            <w:pPr>
              <w:jc w:val="center"/>
            </w:pPr>
            <w:r>
              <w:rPr>
                <w:sz w:val="18"/>
              </w:rPr>
              <w:t>0.800</w:t>
            </w:r>
          </w:p>
        </w:tc>
        <w:tc>
          <w:tcPr>
            <w:tcW w:type="dxa" w:w="1488"/>
            <w:shd w:val="clear" w:color="auto" w:fill="E8EEF5"/>
          </w:tcPr>
          <w:p>
            <w:pPr>
              <w:jc w:val="center"/>
            </w:pPr>
            <w:r>
              <w:rPr>
                <w:sz w:val="18"/>
              </w:rPr>
              <w:t>0.880</w:t>
            </w:r>
          </w:p>
        </w:tc>
        <w:tc>
          <w:tcPr>
            <w:tcW w:type="dxa" w:w="1488"/>
            <w:shd w:val="clear" w:color="auto" w:fill="E8EEF5"/>
          </w:tcPr>
          <w:p>
            <w:pPr>
              <w:jc w:val="center"/>
            </w:pPr>
            <w:r>
              <w:rPr>
                <w:sz w:val="18"/>
              </w:rPr>
              <w:t>+0.080 up</w:t>
            </w:r>
          </w:p>
        </w:tc>
      </w:tr>
    </w:tbl>
    <w:p>
      <w:pPr>
        <w:spacing w:before="80"/>
        <w:jc w:val="center"/>
      </w:pPr>
      <w:r>
        <w:rPr>
          <w:i/>
          <w:color w:val="2E3A59"/>
          <w:sz w:val="18"/>
        </w:rPr>
        <w:t>Table 7  —  Budget=8,000 quality comparison (averaged over all merge sizes). Note: merge_size=40 anomaly is included in these averages and pulls values down.</w:t>
      </w:r>
    </w:p>
    <w:p/>
    <w:p>
      <w:pPr>
        <w:spacing w:before="120" w:after="40"/>
        <w:jc w:val="center"/>
      </w:pPr>
      <w:r>
        <w:drawing>
          <wp:inline xmlns:a="http://schemas.openxmlformats.org/drawingml/2006/main" xmlns:pic="http://schemas.openxmlformats.org/drawingml/2006/picture">
            <wp:extent cx="5303520" cy="2255489"/>
            <wp:docPr id="5" name="Picture 5"/>
            <wp:cNvGraphicFramePr>
              <a:graphicFrameLocks noChangeAspect="1"/>
            </wp:cNvGraphicFramePr>
            <a:graphic>
              <a:graphicData uri="http://schemas.openxmlformats.org/drawingml/2006/picture">
                <pic:pic>
                  <pic:nvPicPr>
                    <pic:cNvPr id="0" name="improved_hybrid_budget8k_bars.png"/>
                    <pic:cNvPicPr/>
                  </pic:nvPicPr>
                  <pic:blipFill>
                    <a:blip r:embed="rId13"/>
                    <a:stretch>
                      <a:fillRect/>
                    </a:stretch>
                  </pic:blipFill>
                  <pic:spPr>
                    <a:xfrm>
                      <a:off x="0" y="0"/>
                      <a:ext cx="5303520" cy="2255489"/>
                    </a:xfrm>
                    <a:prstGeom prst="rect"/>
                  </pic:spPr>
                </pic:pic>
              </a:graphicData>
            </a:graphic>
          </wp:inline>
        </w:drawing>
      </w:r>
    </w:p>
    <w:p>
      <w:pPr>
        <w:spacing w:after="200"/>
        <w:jc w:val="center"/>
      </w:pPr>
      <w:r>
        <w:rPr>
          <w:i/>
          <w:color w:val="2E3A59"/>
          <w:sz w:val="18"/>
        </w:rPr>
        <w:t>Figure 5.  Side-by-side quality comparison at budget = 8,000 tokens. Left: support recall. Right: exact support coverage. Both panels use zoomed y-axes to make the lexical-to-hybrid delta visible. Coverage shows a clear improvement; recall is flat.</w:t>
      </w:r>
    </w:p>
    <w:p>
      <w:pPr>
        <w:spacing w:before="120" w:after="40"/>
        <w:jc w:val="center"/>
      </w:pPr>
      <w:r>
        <w:drawing>
          <wp:inline xmlns:a="http://schemas.openxmlformats.org/drawingml/2006/main" xmlns:pic="http://schemas.openxmlformats.org/drawingml/2006/picture">
            <wp:extent cx="5303520" cy="3369899"/>
            <wp:docPr id="6" name="Picture 6"/>
            <wp:cNvGraphicFramePr>
              <a:graphicFrameLocks noChangeAspect="1"/>
            </wp:cNvGraphicFramePr>
            <a:graphic>
              <a:graphicData uri="http://schemas.openxmlformats.org/drawingml/2006/picture">
                <pic:pic>
                  <pic:nvPicPr>
                    <pic:cNvPr id="0" name="improved_hybrid_coverage_compare.png"/>
                    <pic:cNvPicPr/>
                  </pic:nvPicPr>
                  <pic:blipFill>
                    <a:blip r:embed="rId14"/>
                    <a:stretch>
                      <a:fillRect/>
                    </a:stretch>
                  </pic:blipFill>
                  <pic:spPr>
                    <a:xfrm>
                      <a:off x="0" y="0"/>
                      <a:ext cx="5303520" cy="3369899"/>
                    </a:xfrm>
                    <a:prstGeom prst="rect"/>
                  </pic:spPr>
                </pic:pic>
              </a:graphicData>
            </a:graphic>
          </wp:inline>
        </w:drawing>
      </w:r>
    </w:p>
    <w:p>
      <w:pPr>
        <w:spacing w:after="200"/>
        <w:jc w:val="center"/>
      </w:pPr>
      <w:r>
        <w:rPr>
          <w:i/>
          <w:color w:val="2E3A59"/>
          <w:sz w:val="18"/>
        </w:rPr>
        <w:t>Figure 6.  Average exact support coverage — lexical vs. hybrid — aggregated across all conditions. Y-axis starts at 0.60 (not 0) to make the delta readable. Hybrid improves coverage for all three algorithms.</w:t>
      </w:r>
    </w:p>
    <w:p>
      <w:pPr>
        <w:spacing w:before="120" w:after="40"/>
        <w:jc w:val="center"/>
      </w:pPr>
      <w:r>
        <w:drawing>
          <wp:inline xmlns:a="http://schemas.openxmlformats.org/drawingml/2006/main" xmlns:pic="http://schemas.openxmlformats.org/drawingml/2006/picture">
            <wp:extent cx="5303520" cy="3369899"/>
            <wp:docPr id="7" name="Picture 7"/>
            <wp:cNvGraphicFramePr>
              <a:graphicFrameLocks noChangeAspect="1"/>
            </wp:cNvGraphicFramePr>
            <a:graphic>
              <a:graphicData uri="http://schemas.openxmlformats.org/drawingml/2006/picture">
                <pic:pic>
                  <pic:nvPicPr>
                    <pic:cNvPr id="0" name="improved_hybrid_recall_compare.png"/>
                    <pic:cNvPicPr/>
                  </pic:nvPicPr>
                  <pic:blipFill>
                    <a:blip r:embed="rId15"/>
                    <a:stretch>
                      <a:fillRect/>
                    </a:stretch>
                  </pic:blipFill>
                  <pic:spPr>
                    <a:xfrm>
                      <a:off x="0" y="0"/>
                      <a:ext cx="5303520" cy="3369899"/>
                    </a:xfrm>
                    <a:prstGeom prst="rect"/>
                  </pic:spPr>
                </pic:pic>
              </a:graphicData>
            </a:graphic>
          </wp:inline>
        </w:drawing>
      </w:r>
    </w:p>
    <w:p>
      <w:pPr>
        <w:spacing w:after="200"/>
        <w:jc w:val="center"/>
      </w:pPr>
      <w:r>
        <w:rPr>
          <w:i/>
          <w:color w:val="2E3A59"/>
          <w:sz w:val="18"/>
        </w:rPr>
        <w:t>Figure 7.  Average support recall — lexical vs. hybrid — aggregated across all conditions. Y-axis is zoomed to [0.82, 0.90]. The near-identical bar heights confirm that recall was already saturated under lexical scoring.</w:t>
      </w:r>
    </w:p>
    <w:p>
      <w:pPr>
        <w:pBdr>
          <w:bottom w:val="single" w:sz="4" w:space="1" w:color="0D7C8F"/>
        </w:pBdr>
        <w:spacing w:after="160"/>
      </w:pPr>
    </w:p>
    <w:p>
      <w:pPr>
        <w:pStyle w:val="Heading1"/>
        <w:spacing w:before="280" w:after="80"/>
      </w:pPr>
      <w:r>
        <w:rPr>
          <w:color w:val="1A234E"/>
        </w:rPr>
        <w:t>6  Unexplained Anomaly: Merge Size = 40</w:t>
      </w:r>
    </w:p>
    <w:p>
      <w:pPr>
        <w:spacing w:after="120"/>
      </w:pPr>
      <w:r>
        <w:rPr>
          <w:b w:val="0"/>
          <w:i w:val="0"/>
          <w:sz w:val="22"/>
        </w:rPr>
        <w:t>A sharp and consistent dip in support recall and exact coverage appears at merge_size = 40 across both lexical and hybrid experiments, and across all three algorithms. This is not a numerical artefact — the pattern is reproduced identically by all three methods, which rules out any algorithm-specific cause.</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232"/>
            <w:shd w:val="clear" w:color="auto" w:fill="1A234E"/>
          </w:tcPr>
          <w:p>
            <w:pPr>
              <w:jc w:val="center"/>
            </w:pPr>
            <w:r>
              <w:rPr>
                <w:b/>
                <w:color w:val="FFFFFF"/>
                <w:sz w:val="18"/>
              </w:rPr>
              <w:t>Merge</w:t>
            </w:r>
          </w:p>
        </w:tc>
        <w:tc>
          <w:tcPr>
            <w:tcW w:type="dxa" w:w="2232"/>
            <w:shd w:val="clear" w:color="auto" w:fill="1A234E"/>
          </w:tcPr>
          <w:p>
            <w:pPr>
              <w:jc w:val="center"/>
            </w:pPr>
            <w:r>
              <w:rPr>
                <w:b/>
                <w:color w:val="FFFFFF"/>
                <w:sz w:val="18"/>
              </w:rPr>
              <w:t>Budget</w:t>
            </w:r>
          </w:p>
        </w:tc>
        <w:tc>
          <w:tcPr>
            <w:tcW w:type="dxa" w:w="2232"/>
            <w:shd w:val="clear" w:color="auto" w:fill="1A234E"/>
          </w:tcPr>
          <w:p>
            <w:pPr>
              <w:jc w:val="center"/>
            </w:pPr>
            <w:r>
              <w:rPr>
                <w:b/>
                <w:color w:val="FFFFFF"/>
                <w:sz w:val="18"/>
              </w:rPr>
              <w:t>Hyb DP Recall</w:t>
            </w:r>
          </w:p>
        </w:tc>
        <w:tc>
          <w:tcPr>
            <w:tcW w:type="dxa" w:w="2232"/>
            <w:shd w:val="clear" w:color="auto" w:fill="1A234E"/>
          </w:tcPr>
          <w:p>
            <w:pPr>
              <w:jc w:val="center"/>
            </w:pPr>
            <w:r>
              <w:rPr>
                <w:b/>
                <w:color w:val="FFFFFF"/>
                <w:sz w:val="18"/>
              </w:rPr>
              <w:t>Hyb DP Exact Cov.</w:t>
            </w:r>
          </w:p>
        </w:tc>
      </w:tr>
      <w:tr>
        <w:tc>
          <w:tcPr>
            <w:tcW w:type="dxa" w:w="2232"/>
            <w:shd w:val="clear" w:color="auto" w:fill="E8EEF5"/>
          </w:tcPr>
          <w:p>
            <w:pPr>
              <w:jc w:val="center"/>
            </w:pPr>
            <w:r>
              <w:rPr>
                <w:sz w:val="18"/>
              </w:rPr>
              <w:t>30</w:t>
            </w:r>
          </w:p>
        </w:tc>
        <w:tc>
          <w:tcPr>
            <w:tcW w:type="dxa" w:w="2232"/>
            <w:shd w:val="clear" w:color="auto" w:fill="E8EEF5"/>
          </w:tcPr>
          <w:p>
            <w:pPr>
              <w:jc w:val="center"/>
            </w:pPr>
            <w:r>
              <w:rPr>
                <w:sz w:val="18"/>
              </w:rPr>
              <w:t>8,000</w:t>
            </w:r>
          </w:p>
        </w:tc>
        <w:tc>
          <w:tcPr>
            <w:tcW w:type="dxa" w:w="2232"/>
            <w:shd w:val="clear" w:color="auto" w:fill="E8EEF5"/>
          </w:tcPr>
          <w:p>
            <w:pPr>
              <w:jc w:val="center"/>
            </w:pPr>
            <w:r>
              <w:rPr>
                <w:sz w:val="18"/>
              </w:rPr>
              <w:t>0.942</w:t>
            </w:r>
          </w:p>
        </w:tc>
        <w:tc>
          <w:tcPr>
            <w:tcW w:type="dxa" w:w="2232"/>
            <w:shd w:val="clear" w:color="auto" w:fill="E8EEF5"/>
          </w:tcPr>
          <w:p>
            <w:pPr>
              <w:jc w:val="center"/>
            </w:pPr>
            <w:r>
              <w:rPr>
                <w:sz w:val="18"/>
              </w:rPr>
              <w:t>0.85</w:t>
            </w:r>
          </w:p>
        </w:tc>
      </w:tr>
      <w:tr>
        <w:tc>
          <w:tcPr>
            <w:tcW w:type="dxa" w:w="2232"/>
            <w:shd w:val="clear" w:color="auto" w:fill="FFFFFF"/>
          </w:tcPr>
          <w:p>
            <w:pPr>
              <w:jc w:val="center"/>
            </w:pPr>
            <w:r>
              <w:rPr>
                <w:sz w:val="18"/>
              </w:rPr>
              <w:t>40</w:t>
            </w:r>
          </w:p>
        </w:tc>
        <w:tc>
          <w:tcPr>
            <w:tcW w:type="dxa" w:w="2232"/>
            <w:shd w:val="clear" w:color="auto" w:fill="FFFFFF"/>
          </w:tcPr>
          <w:p>
            <w:pPr>
              <w:jc w:val="center"/>
            </w:pPr>
            <w:r>
              <w:rPr>
                <w:sz w:val="18"/>
              </w:rPr>
              <w:t>8,000</w:t>
            </w:r>
          </w:p>
        </w:tc>
        <w:tc>
          <w:tcPr>
            <w:tcW w:type="dxa" w:w="2232"/>
            <w:shd w:val="clear" w:color="auto" w:fill="FFFFFF"/>
          </w:tcPr>
          <w:p>
            <w:pPr>
              <w:jc w:val="center"/>
            </w:pPr>
            <w:r>
              <w:rPr>
                <w:sz w:val="18"/>
              </w:rPr>
              <w:t>0.872  ← dip</w:t>
            </w:r>
          </w:p>
        </w:tc>
        <w:tc>
          <w:tcPr>
            <w:tcW w:type="dxa" w:w="2232"/>
            <w:shd w:val="clear" w:color="auto" w:fill="FFFFFF"/>
          </w:tcPr>
          <w:p>
            <w:pPr>
              <w:jc w:val="center"/>
            </w:pPr>
            <w:r>
              <w:rPr>
                <w:sz w:val="18"/>
              </w:rPr>
              <w:t>0.70  ← dip</w:t>
            </w:r>
          </w:p>
        </w:tc>
      </w:tr>
      <w:tr>
        <w:tc>
          <w:tcPr>
            <w:tcW w:type="dxa" w:w="2232"/>
            <w:shd w:val="clear" w:color="auto" w:fill="E8EEF5"/>
          </w:tcPr>
          <w:p>
            <w:pPr>
              <w:jc w:val="center"/>
            </w:pPr>
            <w:r>
              <w:rPr>
                <w:sz w:val="18"/>
              </w:rPr>
              <w:t>50</w:t>
            </w:r>
          </w:p>
        </w:tc>
        <w:tc>
          <w:tcPr>
            <w:tcW w:type="dxa" w:w="2232"/>
            <w:shd w:val="clear" w:color="auto" w:fill="E8EEF5"/>
          </w:tcPr>
          <w:p>
            <w:pPr>
              <w:jc w:val="center"/>
            </w:pPr>
            <w:r>
              <w:rPr>
                <w:sz w:val="18"/>
              </w:rPr>
              <w:t>8,000</w:t>
            </w:r>
          </w:p>
        </w:tc>
        <w:tc>
          <w:tcPr>
            <w:tcW w:type="dxa" w:w="2232"/>
            <w:shd w:val="clear" w:color="auto" w:fill="E8EEF5"/>
          </w:tcPr>
          <w:p>
            <w:pPr>
              <w:jc w:val="center"/>
            </w:pPr>
            <w:r>
              <w:rPr>
                <w:sz w:val="18"/>
              </w:rPr>
              <w:t>0.943</w:t>
            </w:r>
          </w:p>
        </w:tc>
        <w:tc>
          <w:tcPr>
            <w:tcW w:type="dxa" w:w="2232"/>
            <w:shd w:val="clear" w:color="auto" w:fill="E8EEF5"/>
          </w:tcPr>
          <w:p>
            <w:pPr>
              <w:jc w:val="center"/>
            </w:pPr>
            <w:r>
              <w:rPr>
                <w:sz w:val="18"/>
              </w:rPr>
              <w:t>0.85</w:t>
            </w:r>
          </w:p>
        </w:tc>
      </w:tr>
    </w:tbl>
    <w:p>
      <w:pPr>
        <w:spacing w:before="80"/>
        <w:jc w:val="center"/>
      </w:pPr>
      <w:r>
        <w:rPr>
          <w:i/>
          <w:color w:val="2E3A59"/>
          <w:sz w:val="18"/>
        </w:rPr>
        <w:t>Table 8  —  The merge_size=40 dip in hybrid Exact-DP at budget=8,000. The same pattern appears in lexical and all algorithms.</w:t>
      </w:r>
    </w:p>
    <w:p/>
    <w:p>
      <w:pPr>
        <w:spacing w:before="120" w:after="40"/>
        <w:jc w:val="center"/>
      </w:pPr>
      <w:r>
        <w:drawing>
          <wp:inline xmlns:a="http://schemas.openxmlformats.org/drawingml/2006/main" xmlns:pic="http://schemas.openxmlformats.org/drawingml/2006/picture">
            <wp:extent cx="5303520" cy="2988321"/>
            <wp:docPr id="8" name="Picture 8"/>
            <wp:cNvGraphicFramePr>
              <a:graphicFrameLocks noChangeAspect="1"/>
            </wp:cNvGraphicFramePr>
            <a:graphic>
              <a:graphicData uri="http://schemas.openxmlformats.org/drawingml/2006/picture">
                <pic:pic>
                  <pic:nvPicPr>
                    <pic:cNvPr id="0" name="improved_hybrid_anomaly_spotlight.png"/>
                    <pic:cNvPicPr/>
                  </pic:nvPicPr>
                  <pic:blipFill>
                    <a:blip r:embed="rId16"/>
                    <a:stretch>
                      <a:fillRect/>
                    </a:stretch>
                  </pic:blipFill>
                  <pic:spPr>
                    <a:xfrm>
                      <a:off x="0" y="0"/>
                      <a:ext cx="5303520" cy="2988321"/>
                    </a:xfrm>
                    <a:prstGeom prst="rect"/>
                  </pic:spPr>
                </pic:pic>
              </a:graphicData>
            </a:graphic>
          </wp:inline>
        </w:drawing>
      </w:r>
    </w:p>
    <w:p>
      <w:pPr>
        <w:spacing w:after="200"/>
        <w:jc w:val="center"/>
      </w:pPr>
      <w:r>
        <w:rPr>
          <w:i/>
          <w:color w:val="2E3A59"/>
          <w:sz w:val="18"/>
        </w:rPr>
        <w:t>Figure 8.  Support recall vs. merge size at budget=8,000 for Exact-DP (lexical and hybrid). The shaded region highlights the anomalous dip at merge_size=40, which recovers fully at merge_size=50.</w:t>
      </w:r>
    </w:p>
    <w:tbl>
      <w:tblPr>
        <w:tblW w:type="auto" w:w="0"/>
        <w:jc w:val="center"/>
        <w:tblLook w:firstColumn="1" w:firstRow="1" w:lastColumn="0" w:lastRow="0" w:noHBand="0" w:noVBand="1" w:val="04A0"/>
      </w:tblPr>
      <w:tblGrid>
        <w:gridCol w:w="8928"/>
      </w:tblGrid>
      <w:tr>
        <w:tc>
          <w:tcPr>
            <w:tcW w:type="dxa" w:w="8928"/>
            <w:shd w:val="clear" w:color="auto" w:fill="F0F4F8"/>
            <w:tcBorders>
              <w:top w:sz="8" w:val="single" w:color="C89A2B"/>
              <w:bottom w:sz="8" w:val="single" w:color="C89A2B"/>
              <w:left w:sz="24" w:val="single" w:color="C0392B"/>
              <w:right w:sz="8" w:val="single" w:color="C89A2B"/>
            </w:tcBorders>
          </w:tcPr>
          <w:p>
            <w:pPr>
              <w:spacing w:before="80" w:after="80"/>
              <w:ind w:left="120"/>
            </w:pPr>
            <w:r>
              <w:rPr>
                <w:b/>
                <w:color w:val="C0392B"/>
                <w:sz w:val="20"/>
              </w:rPr>
              <w:t xml:space="preserve">▶  ⚠  Known Anomaly:  </w:t>
            </w:r>
            <w:r>
              <w:rPr>
                <w:color w:val="2E3A59"/>
                <w:sz w:val="20"/>
              </w:rPr>
              <w:t>The merge_size=40 anomaly is consistent across all algorithms and both utility functions. The most likely explanation is a structural quirk in the specific HotpotQA instances that landed in the merge-40 bin — for example, they may contain support sentences that use highly atypical vocabulary or require more context tokens to fully capture. This anomaly does not invalidate the broader conclusions but warrants further investigation.</w:t>
            </w:r>
          </w:p>
        </w:tc>
      </w:tr>
    </w:tbl>
    <w:p/>
    <w:p>
      <w:pPr>
        <w:pBdr>
          <w:bottom w:val="single" w:sz="4" w:space="1" w:color="0D7C8F"/>
        </w:pBdr>
        <w:spacing w:after="160"/>
      </w:pPr>
    </w:p>
    <w:p>
      <w:pPr>
        <w:pStyle w:val="Heading1"/>
        <w:spacing w:before="280" w:after="80"/>
      </w:pPr>
      <w:r>
        <w:rPr>
          <w:color w:val="1A234E"/>
        </w:rPr>
        <w:t>7  Discussion</w:t>
      </w:r>
    </w:p>
    <w:p>
      <w:pPr>
        <w:spacing w:after="120"/>
      </w:pPr>
      <w:r>
        <w:rPr>
          <w:b w:val="0"/>
          <w:i w:val="0"/>
          <w:sz w:val="22"/>
        </w:rPr>
        <w:t>The hybrid experiment confirms and extends the core finding of the lexical baseline: greedy-ratio selection remains the practical method of choice, delivering near-optimal quality in sub-millisecond time regardless of the scoring function used. The new finding is that utility function design matters substantially for coverage, even when runtime characteristics are unchanged.</w:t>
      </w:r>
    </w:p>
    <w:p>
      <w:pPr>
        <w:spacing w:after="120"/>
      </w:pPr>
      <w:r>
        <w:rPr>
          <w:b w:val="0"/>
          <w:i w:val="0"/>
          <w:sz w:val="22"/>
        </w:rPr>
        <w:t>The coverage improvement (+6–8 percentage points at budget = 8,000) is practically significant. In the RAG context, exact coverage means the model's context window contains all the information needed to answer the question. Increasing the fraction of instances where this holds — from ~80% to ~88% — could plausibly translate to meaningfully better answer accuracy on multi-hop questions, where every supporting fact matters.</w:t>
      </w:r>
    </w:p>
    <w:p>
      <w:pPr>
        <w:spacing w:after="120"/>
      </w:pPr>
      <w:r>
        <w:rPr>
          <w:b w:val="0"/>
          <w:i w:val="0"/>
          <w:sz w:val="22"/>
        </w:rPr>
        <w:t>An important caveat: the reported runtimes exclude embedding inference. A full hybrid pipeline would incur the cost of computing chunk embeddings, which for all-MiniLM-L6-v2 is fast but non-negligible at scale (roughly 0.2–1 ms per chunk on CPU). For a system processing thousands of chunks in real time, this cost should be factored in — batch GPU inference or pre-indexed embeddings would be essential.</w:t>
      </w:r>
    </w:p>
    <w:p>
      <w:pPr>
        <w:pBdr>
          <w:bottom w:val="single" w:sz="4" w:space="1" w:color="0D7C8F"/>
        </w:pBdr>
        <w:spacing w:after="160"/>
      </w:pPr>
    </w:p>
    <w:p>
      <w:pPr>
        <w:pStyle w:val="Heading1"/>
        <w:spacing w:before="280" w:after="80"/>
      </w:pPr>
      <w:r>
        <w:rPr>
          <w:color w:val="1A234E"/>
        </w:rPr>
        <w:t>8  Limitations</w:t>
      </w:r>
    </w:p>
    <w:p>
      <w:pPr>
        <w:pStyle w:val="ListBullet"/>
        <w:spacing w:after="80"/>
      </w:pPr>
      <w:r>
        <w:rPr>
          <w:b/>
          <w:sz w:val="22"/>
        </w:rPr>
        <w:t xml:space="preserve">Fixed weight split.  </w:t>
      </w:r>
      <w:r>
        <w:rPr>
          <w:sz w:val="22"/>
        </w:rPr>
        <w:t>The 0.7/0.3 semantic-lexical weighting was chosen heuristically. A systematic ablation over weight combinations could reveal whether a different split — or a learned weighting — further improves coverage.</w:t>
      </w:r>
    </w:p>
    <w:p>
      <w:pPr>
        <w:pStyle w:val="ListBullet"/>
        <w:spacing w:after="80"/>
      </w:pPr>
      <w:r>
        <w:rPr>
          <w:b/>
          <w:sz w:val="22"/>
        </w:rPr>
        <w:t xml:space="preserve">Single embedding model.  </w:t>
      </w:r>
      <w:r>
        <w:rPr>
          <w:sz w:val="22"/>
        </w:rPr>
        <w:t>all-MiniLM-L6-v2 is a general-purpose model not fine-tuned for question-answering or HotpotQA. A domain-adapted encoder might produce better utility scores.</w:t>
      </w:r>
    </w:p>
    <w:p>
      <w:pPr>
        <w:pStyle w:val="ListBullet"/>
        <w:spacing w:after="80"/>
      </w:pPr>
      <w:r>
        <w:rPr>
          <w:b/>
          <w:sz w:val="22"/>
        </w:rPr>
        <w:t xml:space="preserve">Embedding timing excluded.  </w:t>
      </w:r>
      <w:r>
        <w:rPr>
          <w:sz w:val="22"/>
        </w:rPr>
        <w:t>Reported runtimes measure selection only. Production deployment requires accounting for embedding inference, which may dominate at scale.</w:t>
      </w:r>
    </w:p>
    <w:p>
      <w:pPr>
        <w:pStyle w:val="ListBullet"/>
        <w:spacing w:after="80"/>
      </w:pPr>
      <w:r>
        <w:rPr>
          <w:b/>
          <w:sz w:val="22"/>
        </w:rPr>
        <w:t xml:space="preserve">Unexplained merge_size=40 dip.  </w:t>
      </w:r>
      <w:r>
        <w:rPr>
          <w:sz w:val="22"/>
        </w:rPr>
        <w:t>The anomalous drop at merge_size=40 was observed but not explained. Instance-level analysis is needed to understand the cause.</w:t>
      </w:r>
    </w:p>
    <w:p>
      <w:pPr>
        <w:pStyle w:val="ListBullet"/>
        <w:spacing w:after="80"/>
      </w:pPr>
      <w:r>
        <w:rPr>
          <w:b/>
          <w:sz w:val="22"/>
        </w:rPr>
        <w:t xml:space="preserve">No downstream LLM evaluation.  </w:t>
      </w:r>
      <w:r>
        <w:rPr>
          <w:sz w:val="22"/>
        </w:rPr>
        <w:t>Coverage and recall are proxy metrics. End-to-end evaluation — does better coverage produce better LLM answers? — was not conducted.</w:t>
      </w:r>
    </w:p>
    <w:p/>
    <w:p>
      <w:pPr>
        <w:pBdr>
          <w:bottom w:val="single" w:sz="4" w:space="1" w:color="0D7C8F"/>
        </w:pBdr>
        <w:spacing w:after="160"/>
      </w:pPr>
    </w:p>
    <w:p>
      <w:pPr>
        <w:pStyle w:val="Heading1"/>
        <w:spacing w:before="280" w:after="80"/>
      </w:pPr>
      <w:r>
        <w:rPr>
          <w:color w:val="1A234E"/>
        </w:rPr>
        <w:t>9  Conclusion</w:t>
      </w:r>
    </w:p>
    <w:p>
      <w:pPr>
        <w:spacing w:after="120"/>
      </w:pPr>
      <w:r>
        <w:rPr>
          <w:b w:val="0"/>
          <w:i w:val="0"/>
          <w:sz w:val="22"/>
        </w:rPr>
        <w:t>Replacing lexical-only utility scoring with a hybrid semantic+lexical function improved exact support coverage by 6–8 percentage points at the largest token budget, without degrading runtime efficiency for any algorithm. The greedy-ratio algorithm remains the method of choice: it matches Exact-DP quality at over 1,000× the speed, and the richer hybrid utility function does not change this conclusion.</w:t>
      </w:r>
    </w:p>
    <w:p>
      <w:pPr>
        <w:spacing w:after="120"/>
      </w:pPr>
      <w:r>
        <w:rPr>
          <w:b w:val="0"/>
          <w:i w:val="0"/>
          <w:sz w:val="22"/>
        </w:rPr>
        <w:t>The most important new insight is the coverage-vs-recall divergence: hybrid scoring specifically helps on instances where lexical overlap missed the final supporting sentence needed for complete context. This is precisely the failure mode that semantic similarity is designed to address, and the results confirm that it does so effectively even with a simple fixed-weight blending.</w:t>
      </w:r>
    </w:p>
    <w:p>
      <w:pPr>
        <w:spacing w:after="160"/>
      </w:pPr>
      <w:r>
        <w:rPr>
          <w:b w:val="0"/>
          <w:i w:val="0"/>
          <w:sz w:val="22"/>
        </w:rPr>
        <w:t>Together, the two experiments paint a coherent picture for practitioners: the knapsack formulation is a robust and principled framework for context compression, greedy-ratio selection is the right algorithm for the job, and investing in a better utility function — rather than a more complex optimization algorithm — is where the quality gains are to be found.</w:t>
      </w:r>
    </w:p>
    <w:tbl>
      <w:tblPr>
        <w:tblW w:type="auto" w:w="0"/>
        <w:jc w:val="center"/>
        <w:tblLook w:firstColumn="1" w:firstRow="1" w:lastColumn="0" w:lastRow="0" w:noHBand="0" w:noVBand="1" w:val="04A0"/>
      </w:tblPr>
      <w:tblGrid>
        <w:gridCol w:w="8928"/>
      </w:tblGrid>
      <w:tr>
        <w:tc>
          <w:tcPr>
            <w:tcW w:type="dxa" w:w="8928"/>
            <w:shd w:val="clear" w:color="auto" w:fill="F0F4F8"/>
            <w:tcBorders>
              <w:top w:sz="8" w:val="single" w:color="C89A2B"/>
              <w:bottom w:sz="8" w:val="single" w:color="C89A2B"/>
              <w:left w:sz="24" w:val="single" w:color="0D7C8F"/>
              <w:right w:sz="8" w:val="single" w:color="C89A2B"/>
            </w:tcBorders>
          </w:tcPr>
          <w:p>
            <w:pPr>
              <w:spacing w:before="80" w:after="80"/>
              <w:ind w:left="120"/>
            </w:pPr>
            <w:r>
              <w:rPr>
                <w:b/>
                <w:color w:val="0D7C8F"/>
                <w:sz w:val="20"/>
              </w:rPr>
              <w:t xml:space="preserve">▶  Concluding Takeaway:  </w:t>
            </w:r>
            <w:r>
              <w:rPr>
                <w:color w:val="2E3A59"/>
                <w:sz w:val="20"/>
              </w:rPr>
              <w:t>Better utility functions beat better algorithms. Hybrid scoring improved coverage by ~7pp at essentially zero additional selection cost. Algorithmically, the knapsack formulation continues to validate greedy-ratio as the near-optimal, production-ready choice.</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