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0.2 · 11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seis capítulos reúnen preparación del entorno, carpetas, glosario,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Preparar el entorno</w:t>
      </w:r>
    </w:p>
    <w:p>
      <w:pPr>
        <w:jc w:val="both"/>
      </w:pPr>
      <w:r>
        <w:t>2 Carpetas y guardado</w:t>
      </w:r>
    </w:p>
    <w:p>
      <w:pPr>
        <w:jc w:val="both"/>
      </w:pPr>
      <w:r>
        <w:t>3 Glosario de lectura</w:t>
      </w:r>
    </w:p>
    <w:p>
      <w:pPr>
        <w:jc w:val="both"/>
      </w:pPr>
      <w:r>
        <w:t>4 Implementación de la prestación</w:t>
      </w:r>
    </w:p>
    <w:p>
      <w:pPr>
        <w:jc w:val="both"/>
      </w:pPr>
      <w:r>
        <w:t>5 Alcance y variantes</w:t>
      </w:r>
    </w:p>
    <w:p>
      <w:pPr>
        <w:jc w:val="both"/>
      </w:pPr>
      <w:r>
        <w:t>6 Composición de entregables y recepción</w:t>
      </w:r>
    </w:p>
    <w:p>
      <w:r>
        <w:br w:type="page"/>
      </w:r>
    </w:p>
    <w:p>
      <w:pPr>
        <w:pStyle w:val="Heading1"/>
      </w:pPr>
      <w:r>
        <w:t>1 Preparar el entorno</w:t>
      </w:r>
    </w:p>
    <w:p>
      <w:pPr>
        <w:keepNext/>
        <w:jc w:val="both"/>
      </w:pPr>
      <w:r>
        <w:t>Versión 0.2 · Guía del consultor · Documentación de plataformas consultada el 11 de septiembre de 2026</w:t>
      </w:r>
    </w:p>
    <w:p>
      <w:pPr>
        <w:jc w:val="both"/>
      </w:pPr>
      <w:r>
        <w:t>Elegir el medio por las acciones necesarias: leer archivos, investigar, calcular y guardar. La biblioteca Go2Rev aporta instrucciones; el espacio del encargo conserva originales y resultados; la sesión realiza una tarea. Una skill puede facilitar la entrada, pero no es necesaria y no sustituye los archivos metodológicos accesibles.</w:t>
      </w:r>
    </w:p>
    <w:p>
      <w:pPr>
        <w:pStyle w:val="Heading2"/>
      </w:pPr>
      <w:r>
        <w:t>Preparación común una vez por encargo</w:t>
      </w:r>
    </w:p>
    <w:p>
      <w:pPr>
        <w:jc w:val="both"/>
      </w:pPr>
      <w:r>
        <w:t>1. Conservar el paquete Go2Rev elegido e identificar su versión. Para empezar, disponer de ENTRADA_GO2REV.md, el glosario, carpetas/guardado y la primera pasada. Las instrucciones de cada nodo se abren cuando la tarea las necesita.</w:t>
      </w:r>
    </w:p>
    <w:p>
      <w:pPr>
        <w:jc w:val="both"/>
      </w:pPr>
      <w:r>
        <w:t xml:space="preserve">2. Preparar el espacio separado del encargo con la </w:t>
      </w:r>
      <w:hyperlink r:id="rId11">
        <w:r>
          <w:rPr>
            <w:color w:val="151B73"/>
          </w:rPr>
          <w:t>estructura de carpetas</w:t>
        </w:r>
      </w:hyperlink>
      <w:r>
        <w:t>, o registrar la correspondencia con una estructura existente. Dar acceso a la biblioteca y al espacio autorizado mediante carpeta, archivos aportados o conexión disponible. Un enlace al repositorio privado requiere autenticación y lectura efectiva; no basta pegar su dirección.</w:t>
      </w:r>
    </w:p>
    <w:p>
      <w:pPr>
        <w:jc w:val="both"/>
      </w:pPr>
      <w:r>
        <w:t xml:space="preserve">3. En las instrucciones del proyecto introducir: </w:t>
      </w:r>
      <w:r>
        <w:rPr>
          <w:b/>
        </w:rPr>
        <w:t>«Aplica la entrada Go2Rev de la versión disponible. Recupera el índice del encargo antes de continuar. Lee las instrucciones sustantivas de la tarea, produce el trabajo y guarda según el mapa de carpetas. Conserva originales, decisiones y límites. Si falta acceso a un archivo, indica cuál y continúa lo independiente.»</w:t>
      </w:r>
      <w:r>
        <w:t xml:space="preserve"> Adjuntar la entrada completa como documento cuando no quepa en las instrucciones.</w:t>
      </w:r>
    </w:p>
    <w:p>
      <w:pPr>
        <w:jc w:val="both"/>
      </w:pPr>
      <w:r>
        <w:t>4. Aportar mandato y originales autorizados, y declarar la ubicación de trabajo. El asistente comprueba lo que realmente puede leer y guardar en esa tarea; no pide al consultor completar un inventario universal de herramientas.</w:t>
      </w:r>
    </w:p>
    <w:p>
      <w:pPr>
        <w:jc w:val="both"/>
      </w:pPr>
      <w:r>
        <w:t>Cuando el medio admita repositorio o carpeta, conservar sus rutas. Si solo admite documentos separados, usar los archivos de lectura de lecturas/ distribuidos con el paquete. CARGA_INICIO.md agrupa la entrada común y CARGA_N01.md reúne el encargo. Cada lectura identifica fuentes y límites; no es otra fuente editable del método.</w:t>
      </w:r>
    </w:p>
    <w:p>
      <w:pPr>
        <w:pStyle w:val="Heading2"/>
      </w:pPr>
      <w:r>
        <w:t>ChatGPT Work en un proyecto con archivos aportados</w:t>
      </w:r>
    </w:p>
    <w:p>
      <w:pPr>
        <w:jc w:val="both"/>
      </w:pPr>
      <w:r>
        <w:t xml:space="preserve">Crear o abrir un proyecto de ChatGPT para el encargo. Incorporar la entrada y las lecturas pertinentes en Fuentes, y el texto común en las instrucciones del proyecto. Iniciar la tarea desde ese proyecto y seleccionar Work para producir un entregable. Los proyectos reúnen archivos e instrucciones, pero no dan por sí mismos acceso a la carpeta del ordenador. </w:t>
      </w:r>
      <w:hyperlink r:id="rId12">
        <w:r>
          <w:rPr>
            <w:color w:val="151B73"/>
          </w:rPr>
          <w:t>Proyectos y chats</w:t>
        </w:r>
      </w:hyperlink>
      <w:r>
        <w:t>.</w:t>
      </w:r>
    </w:p>
    <w:p>
      <w:pPr>
        <w:jc w:val="both"/>
      </w:pPr>
      <w:r>
        <w:t xml:space="preserve">En la primera tarea aportar mandato y documentos recibidos, y pedir el encuadre K01. En las siguientes, aportar el índice vigente y la última fuente editable necesaria. Revisar el resultado, descargar los archivos y guardarlos con sus rutas de destino. Cuando se necesite una herramienta o fuente conectada, seleccionar un acceso disponible y autorizado para esa tarea. Work permite producir y refinar archivos; comprobar el destino efectivo del resultado. </w:t>
      </w:r>
      <w:hyperlink r:id="rId13">
        <w:r>
          <w:rPr>
            <w:color w:val="151B73"/>
          </w:rPr>
          <w:t>Uso de Work en la web</w:t>
        </w:r>
      </w:hyperlink>
      <w:r>
        <w:t>.</w:t>
      </w:r>
    </w:p>
    <w:p>
      <w:pPr>
        <w:jc w:val="both"/>
      </w:pPr>
      <w:r>
        <w:t>Si el archivo del proyecto es una copia aportada, actualizarlo después de incorporar una nueva versión. Mantener un único índice vigente. No atribuir sincronización con el ordenador o con GitHub sin que ese mecanismo esté disponible y su actualización confirmada.</w:t>
      </w:r>
    </w:p>
    <w:p>
      <w:pPr>
        <w:pStyle w:val="Heading2"/>
      </w:pPr>
      <w:r>
        <w:t>Sesión con acceso a carpetas o repositorio</w:t>
      </w:r>
    </w:p>
    <w:p>
      <w:pPr>
        <w:jc w:val="both"/>
      </w:pPr>
      <w:r>
        <w:t>Seleccionar el espacio del encargo y aportar acceso de lectura a la biblioteca. Indicar al asistente las dos ubicaciones: método y trabajo. Aplicar las instrucciones comunes mediante el mecanismo que ofrezca el entorno. La acción de escritura pertenece al espacio del encargo; la biblioteca general se conserva sin datos propios.</w:t>
      </w:r>
    </w:p>
    <w:p>
      <w:pPr>
        <w:jc w:val="both"/>
      </w:pPr>
      <w:r>
        <w:t xml:space="preserve">Pedir primero que recupere índice, versión y archivos de la tarea. El asistente escribe en la ruta prevista y comprueba el contenido guardado. Si hay una carpeta sincronizada con otro servicio, diferenciar escritura local y disponibilidad remota. Si hay un repositorio de trabajo, un commit o una subida solo se atribuyen cuando se hayan efectuado y estén autorizados. El proyecto local de ChatGPT/Codex y el proyecto con archivos subidos son medios distintos. </w:t>
      </w:r>
      <w:hyperlink r:id="rId12">
        <w:r>
          <w:rPr>
            <w:color w:val="151B73"/>
          </w:rPr>
          <w:t>Proyectos y carpetas locales</w:t>
        </w:r>
      </w:hyperlink>
      <w:r>
        <w:t>.</w:t>
      </w:r>
    </w:p>
    <w:p>
      <w:pPr>
        <w:pStyle w:val="Heading2"/>
      </w:pPr>
      <w:r>
        <w:t>Claude Cowork</w:t>
      </w:r>
    </w:p>
    <w:p>
      <w:pPr>
        <w:jc w:val="both"/>
      </w:pPr>
      <w:r>
        <w:t xml:space="preserve">En Claude Desktop, abrir Projects y crear un proyecto desde una carpeta existente, o preparar uno nuevo con sus archivos e instrucciones. Seleccionar la raíz del encargo, mantener la biblioteca separada y añadir el texto común. Si se importa otro proyecto, revisar qué archivos e instrucciones llegaron y resolver su correspondencia antes de continuar. </w:t>
      </w:r>
      <w:hyperlink r:id="rId14">
        <w:r>
          <w:rPr>
            <w:color w:val="151B73"/>
          </w:rPr>
          <w:t>Proyectos de Cowork</w:t>
        </w:r>
      </w:hyperlink>
      <w:r>
        <w:t>.</w:t>
      </w:r>
    </w:p>
    <w:p>
      <w:pPr>
        <w:jc w:val="both"/>
      </w:pPr>
      <w:r>
        <w:t xml:space="preserve">Iniciar la tarea con Cowork, indicar el resultado requerido y recuperar el índice. Para trabajar con carpetas locales, iniciar desde Desktop y conservar la aplicación abierta y conectada mientras se necesite ese acceso. Distinguir archivos de la carpeta de los documentos mantenidos como conocimiento del proyecto; incorporar las nuevas versiones a ese conocimiento cuando proceda. Si el acceso local deja de estar disponible, entregar el resultado como archivo descargable con su ruta prevista. </w:t>
      </w:r>
      <w:hyperlink r:id="rId15">
        <w:r>
          <w:rPr>
            <w:color w:val="151B73"/>
          </w:rPr>
          <w:t>Acceso desde distintas superficies</w:t>
        </w:r>
      </w:hyperlink>
      <w:r>
        <w:t>.</w:t>
      </w:r>
    </w:p>
    <w:p>
      <w:pPr>
        <w:pStyle w:val="Heading2"/>
      </w:pPr>
      <w:r>
        <w:t>Claude en un proyecto de chat</w:t>
      </w:r>
    </w:p>
    <w:p>
      <w:pPr>
        <w:jc w:val="both"/>
      </w:pPr>
      <w:r>
        <w:t xml:space="preserve">Crear un proyecto, subir la entrada y las lecturas necesarias a su conocimiento y establecer las instrucciones del proyecto. Abrir el chat dentro de ese proyecto. El conocimiento compartido se actualiza con los documentos que deban conservarse; una conversación anterior no sustituye el índice de archivos vigentes. </w:t>
      </w:r>
      <w:hyperlink r:id="rId16">
        <w:r>
          <w:rPr>
            <w:color w:val="151B73"/>
          </w:rPr>
          <w:t>Crear y gestionar proyectos</w:t>
        </w:r>
      </w:hyperlink>
      <w:r>
        <w:t>.</w:t>
      </w:r>
    </w:p>
    <w:p>
      <w:pPr>
        <w:jc w:val="both"/>
      </w:pPr>
      <w:r>
        <w:t>Pedir una entrega concreta con su fundamento y destino. Descargar los archivos generados o guardar el contenido que el medio permita entregar. Incorporar al proyecto las nuevas versiones necesarias para la continuidad y retirar de su entrada operativa las copias sustituidas, conservándolas en Archivo.</w:t>
      </w:r>
    </w:p>
    <w:p>
      <w:pPr>
        <w:pStyle w:val="Heading2"/>
      </w:pPr>
      <w:r>
        <w:t>Chat independiente o entorno sin acceso a archivos</w:t>
      </w:r>
    </w:p>
    <w:p>
      <w:pPr>
        <w:jc w:val="both"/>
      </w:pPr>
      <w:r>
        <w:t>Aportar el contenido de CARGA_INICIO.md, la lectura del nodo solicitado, mandato/índice y originales pertinentes que el medio pueda recibir. Si el límite impide aportar todo, dividir por tarea y proporcionar primero el núcleo; el asistente identifica la dependencia ausente antes de usarla. Un resumen puede orientar, pero no reemplaza el original que sustenta una afirmación.</w:t>
      </w:r>
    </w:p>
    <w:p>
      <w:pPr>
        <w:jc w:val="both"/>
      </w:pPr>
      <w:r>
        <w:t>Pedir contenido final con título, versión y ruta prevista. Guardarlo en el espacio persistente y conservar un relevo con los localizadores actuales. Una sesión que solo entrega texto no crea carpetas ni actualiza archivos locales. Para continuar en otro chat, aportar ese relevo y los archivos necesarios, sin copiar todo el historial.</w:t>
      </w:r>
    </w:p>
    <w:p>
      <w:pPr>
        <w:pStyle w:val="Heading2"/>
      </w:pPr>
      <w:r>
        <w:t>Peticiones listas para usar</w:t>
      </w:r>
    </w:p>
    <w:p>
      <w:pPr>
        <w:jc w:val="both"/>
      </w:pPr>
      <w:r>
        <w:rPr>
          <w:b/>
        </w:rPr>
        <w:t>Iniciar un encargo.</w:t>
      </w:r>
      <w:r>
        <w:t xml:space="preserve"> «Usa Go2Rev en su versión disponible. Lee la entrada y el procedimiento de encargo. Recupera el mandato y los originales aportados. Prepara el encuadre, la salida de Diagnostic y el índice en la estructura acordada. Produce el análisis con la información existente y señala solo los datos exclusivos o decisiones que falten. Indica qué quedó guardado y dónde.»</w:t>
      </w:r>
    </w:p>
    <w:p>
      <w:pPr>
        <w:jc w:val="both"/>
      </w:pPr>
      <w:r>
        <w:rPr>
          <w:b/>
        </w:rPr>
        <w:t>Continuar.</w:t>
      </w:r>
      <w:r>
        <w:t xml:space="preserve"> «Continúa desde el índice vigente del encargo. Conserva decisiones y versiones. Lee la última entrega y las instrucciones necesarias para la siguiente acción registrada. Produce y guarda el resultado, actualiza el índice y entrega una síntesis de cambios y pendientes.»</w:t>
      </w:r>
    </w:p>
    <w:p>
      <w:pPr>
        <w:jc w:val="both"/>
      </w:pPr>
      <w:r>
        <w:rPr>
          <w:b/>
        </w:rPr>
        <w:t>Cambiar de entorno.</w:t>
      </w:r>
      <w:r>
        <w:t xml:space="preserve"> «Recibe este relevo y sus archivos. Identifica versión del método, ubicaciones y última decisión. Comprueba qué puedes leer y guardar aquí. Continúa la tarea pendiente; señala cualquier original necesario que no haya llegado, sin reconstruirlo desde el resumen.»</w:t>
      </w:r>
    </w:p>
    <w:p>
      <w:pPr>
        <w:jc w:val="both"/>
      </w:pPr>
      <w:r>
        <w:rPr>
          <w:b/>
        </w:rPr>
        <w:t>Cerrar la sesión.</w:t>
      </w:r>
      <w:r>
        <w:t xml:space="preserve"> «Guarda el trabajo completado y conserva la versión anterior cuando sustentó decisiones. Actualiza el índice con fuentes vigentes, decisiones, límites, operaciones pendientes y siguiente acción. Entrega los archivos o el paquete de cambios con rutas relativas e identifica cualquier guardado que quede por realizar.»</w:t>
      </w:r>
    </w:p>
    <w:p>
      <w:pPr>
        <w:pStyle w:val="Heading2"/>
      </w:pPr>
      <w:r>
        <w:t>Investigación y cálculo durante el trabajo</w:t>
      </w:r>
    </w:p>
    <w:p>
      <w:pPr>
        <w:jc w:val="both"/>
      </w:pPr>
      <w:r>
        <w:t>Solicitar investigación por pregunta que cambie una decisión. El asistente recupera originales, registra su cobertura y cruza sus hallazgos con la información del cliente. Si no dispone de búsqueda, proponer las fuentes y aportaciones que permitirían resolver el hueco; una recomendación dependiente mantiene ese límite.</w:t>
      </w:r>
    </w:p>
    <w:p>
      <w:pPr>
        <w:jc w:val="both"/>
      </w:pPr>
      <w:r>
        <w:t>Para economía, aportar el libro y su guía cuando la tarea necesite cálculo. Separar razonamiento sobre fórmulas, cálculo ejecutado y archivo recalculado. El generador del libro es una herramienta de mantenimiento del producto; no es requisito para editar una copia existente. Conservar la identidad de la combinación, unidades, periodos y fundamento de entradas.</w:t>
      </w:r>
    </w:p>
    <w:p>
      <w:pPr>
        <w:jc w:val="both"/>
      </w:pPr>
      <w:r>
        <w:t>La documentación oficial identifica funciones publicadas; la disponibilidad concreta depende de cuenta, versión, permisos y superficie. Esta guía no atribuye pruebas de Go2Rev entre plataformas. Al utilizarla, la propia acción confirma lectura y guardado; las comprobaciones de prestación siguen sus criterios y alcance.</w:t>
      </w:r>
    </w:p>
    <w:p>
      <w:pPr>
        <w:pStyle w:val="Heading1"/>
      </w:pPr>
      <w:r>
        <w:t>2 Carpetas y guardado</w:t>
      </w:r>
    </w:p>
    <w:p>
      <w:pPr>
        <w:keepNext/>
        <w:jc w:val="both"/>
      </w:pPr>
      <w:r>
        <w:t>Versión 0.2 · Convención operativa común a los diecisiete nodos</w:t>
      </w:r>
    </w:p>
    <w:p>
      <w:pPr>
        <w:jc w:val="both"/>
      </w:pPr>
      <w:r>
        <w:t>Preparar una raíz persistente por encargo. La biblioteca Go2Rev conserva una versión identificada y sus plantillas vacías; el trabajo propio se guarda en esta raíz, fuera de la biblioteca. El nombre del encargo procede del mandato recibido. Una sesión utiliza el espacio existente y actualiza sus archivos.</w:t>
      </w:r>
    </w:p>
    <w:p>
      <w:pPr>
        <w:pStyle w:val="Heading2"/>
      </w:pPr>
      <w:r>
        <w:t>Estructura predeterminada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240"/>
      </w:tblGrid>
      <w:tr>
        <w:trPr>
          <w:cantSplit/>
          <w:tblHeader/>
        </w:trPr>
        <w:tc>
          <w:tcPr>
            <w:tcW w:type="dxa" w:w="295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Carpeta</w:t>
            </w:r>
          </w:p>
        </w:tc>
        <w:tc>
          <w:tcPr>
            <w:tcW w:type="dxa" w:w="31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vigente</w:t>
            </w:r>
          </w:p>
        </w:tc>
        <w:tc>
          <w:tcPr>
            <w:tcW w:type="dxa" w:w="3240"/>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Regla de ubicación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00 Sistema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índice, decisiones, fuentes y afirmaciones, cambios, continuidad</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Agrupar los registros de K01/K02/K17; usar un solo índice localizable</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Entregables/Diagnostic</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interpretada y recomendación de evaluación</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Mantener aquí sus fuentes editables y vistas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Entregables/Design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de posición, oferta, acceso, compra, entrega y medición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Una fuente por contenido, referenciada por los informes que lo consumen</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Entregables/Economia</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Libro y relaciones económicas vigentes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una fuente de cálculo por combinación identificada; Diagnostic y Design la referencian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Entregables/Despliegue</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Preparación, cobertura, recepción y transferencia</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Relacionar obligaciones con piezas de Operación y evidencia de QA</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Anexos/Material del cliente</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recibidos y sus sucesivas versiones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identidad y procedencia, incluidos límites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02 Anexos/Investigacion externa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datos y capturas de fuentes externas autorizadas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Registrar en FUE el original o URL, fecha y cobertura; un enlace puede conservar una fuente que no se puede redistribuir</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Anexos/Actas y transcripciones</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Relatos, actas y registros de conversaciones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original, transcripción, resumen y acuerdo; DEC registra la autoridad del acuerdo</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03 QA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Protocolos, revisión de contenido y resultados de comprobación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Identificar criterio, versión, autor y estado; protocolo diseñado y resultado observado son contenidos distintos</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04 Archivo</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Fuentes editables y vistas sustituidas que sustentaron decisiones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la ruta relativa anterior bajo una revisión identificada; actualizar el índice y enlaces afectados</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05 Operacion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y guías para ejecutar las tareas comprometidas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editable de cada pieza, vistas y configuración o referencia al sistema efectivo</w:t>
            </w:r>
          </w:p>
        </w:tc>
      </w:tr>
    </w:tbl>
    <w:p>
      <w:pPr>
        <w:spacing w:after="40" w:before="0" w:line="120" w:lineRule="auto"/>
      </w:pPr>
    </w:p>
    <w:p>
      <w:pPr>
        <w:jc w:val="both"/>
      </w:pPr>
      <w:r>
        <w:t>Dentro de cada conjunto de Entregables y de Operacion usar Fuentes para editar y Lectura para las vistas destinadas al receptor. Se crean cuando exista el primer contenido de ese tipo. Los documentos pueden estar en borrador, revisados o entregados dentro de su ubicación: la carpeta no acredita su estado. Un material en Operacion necesita la evidencia pertinente antes de anunciar preparación comprobada.</w:t>
      </w:r>
    </w:p>
    <w:p>
      <w:pPr>
        <w:pStyle w:val="Heading2"/>
      </w:pPr>
      <w:r>
        <w:t>Preparación inicial y continuación</w:t>
      </w:r>
    </w:p>
    <w:p>
      <w:pPr>
        <w:jc w:val="both"/>
      </w:pPr>
      <w:r>
        <w:t>1. Localizar la raíz acordada y comprobar si ya contiene un encargo. Recuperar su índice y versión del método antes de crear archivos.</w:t>
      </w:r>
    </w:p>
    <w:p>
      <w:pPr>
        <w:jc w:val="both"/>
      </w:pPr>
      <w:r>
        <w:t>2. Si es un inicio, preparar las seis carpetas principales y las subdivisiones de Entregables y Anexos. Incorporar un índice vacío de continuidad en 00 Sistema; redactar K01 con la información autorizada. Crear los demás archivos cuando exista contenido útil para su función.</w:t>
      </w:r>
    </w:p>
    <w:p>
      <w:pPr>
        <w:jc w:val="both"/>
      </w:pPr>
      <w:r>
        <w:t>3. Si hay una estructura previa que debe respetarse, registrar una tabla de correspondencia entre estas funciones y sus ubicaciones reales en el índice. Mantener esa correspondencia en todos los guardados. Una carpeta inaccesible queda pendiente; no se declara creada.</w:t>
      </w:r>
    </w:p>
    <w:p>
      <w:pPr>
        <w:jc w:val="both"/>
      </w:pPr>
      <w:r>
        <w:t>4. En una continuación, abrir el índice, las decisiones y el contenido de la tarea. Completar solo las ubicaciones necesarias que falten. Conservar los archivos existentes y conciliar revisiones incompatibles antes de sustituirlas.</w:t>
      </w:r>
    </w:p>
    <w:p>
      <w:pPr>
        <w:jc w:val="both"/>
      </w:pPr>
      <w:r>
        <w:t xml:space="preserve">La </w:t>
      </w:r>
      <w:hyperlink r:id="rId17">
        <w:r>
          <w:rPr>
            <w:color w:val="151B73"/>
          </w:rPr>
          <w:t>estructura vacía</w:t>
        </w:r>
      </w:hyperlink>
      <w:r>
        <w:t xml:space="preserve"> se distribuye como ZIP independiente, con instrucciones y una plantilla de índice. Prepararla es una operación documental; no habilita contratación, contacto ni actuación comercial por sí sola.</w:t>
      </w:r>
    </w:p>
    <w:p>
      <w:pPr>
        <w:pStyle w:val="Heading2"/>
      </w:pPr>
      <w:r>
        <w:t>Regla de destino por resultado</w:t>
      </w:r>
    </w:p>
    <w:p>
      <w:pPr>
        <w:jc w:val="both"/>
      </w:pPr>
      <w:r>
        <w:t xml:space="preserve">Cada nodo puede producir varios tipos de resultado. El original recuperado va a Anexos; su interpretación a la fuente del entregable; una decisión a Sistema; un protocolo o comprobación a QA; una pieza de uso a Operacion. La </w:t>
      </w:r>
      <w:hyperlink r:id="rId18">
        <w:r>
          <w:rPr>
            <w:color w:val="151B73"/>
          </w:rPr>
          <w:t>primera pasada por nodo</w:t>
        </w:r>
      </w:hyperlink>
      <w:r>
        <w:t xml:space="preserve"> concreta los destinos y el núcleo de contenido de cada salida.</w:t>
      </w:r>
    </w:p>
    <w:p>
      <w:pPr>
        <w:jc w:val="both"/>
      </w:pPr>
      <w:r>
        <w:t>El cruce entre evidencia externa y datos del cliente se redacta en la fuente de Diagnostic, con referencias a ambos originales. Las actas de reconciliación pueden conservarse en Anexos, mientras la conclusión vigente se integra en su productor. Evitar repartir una misma condición o fórmula entre originales editables independientes.</w:t>
      </w:r>
    </w:p>
    <w:p>
      <w:pPr>
        <w:pStyle w:val="Heading2"/>
      </w:pPr>
      <w:r>
        <w:t>Nombrar y conservar</w:t>
      </w:r>
    </w:p>
    <w:p>
      <w:pPr>
        <w:jc w:val="both"/>
      </w:pPr>
      <w:r>
        <w:t>Usar ID - Titulo - vN.ext, con identidad estable por pieza y título comprensible. La versión identifica contenido; el estado se registra en el documento y en el índice. Los originales externos mantienen su nombre recibido siempre que sea posible y obtienen su ID en FUE. E y O describen el uso habilitado, no una numeración de versiones ni carpetas nuevas.</w:t>
      </w:r>
    </w:p>
    <w:p>
      <w:pPr>
        <w:jc w:val="both"/>
      </w:pPr>
      <w:r>
        <w:t>Antes de sustituir contenido que fundamentó una decisión, conservar su versión en Archivo y sus localizadores históricos. Las vistas de esa fuente se regeneran o se marcan pendientes. Una corrección que no altera significado puede conservar versión, con fecha y alcance de revisión en el índice. Un cambio material conserva versión anterior y CAM; si cambia un compromiso, se obtiene la decisión correspondiente.</w:t>
      </w:r>
    </w:p>
    <w:p>
      <w:pPr>
        <w:pStyle w:val="Heading2"/>
      </w:pPr>
      <w:r>
        <w:t>Cierre de cada tarea</w:t>
      </w:r>
    </w:p>
    <w:p>
      <w:pPr>
        <w:jc w:val="both"/>
      </w:pPr>
      <w:r>
        <w:t>1. Determinar tipo de resultado, fuente editable, revisión base y ruta de destino.</w:t>
      </w:r>
    </w:p>
    <w:p>
      <w:pPr>
        <w:jc w:val="both"/>
      </w:pPr>
      <w:r>
        <w:t>2. Producir el contenido y revisar su fundamento, interfaces y legibilidad.</w:t>
      </w:r>
    </w:p>
    <w:p>
      <w:pPr>
        <w:jc w:val="both"/>
      </w:pPr>
      <w:r>
        <w:t>3. Guardar y volver a leer lo escrito. Actualizar la vista cuando corresponda.</w:t>
      </w:r>
    </w:p>
    <w:p>
      <w:pPr>
        <w:jc w:val="both"/>
      </w:pPr>
      <w:r>
        <w:t>4. Actualizar en el índice la ruta, versión, estado, decisión, pendientes y siguiente acción. Mantener las referencias históricas que sigan siendo necesarias.</w:t>
      </w:r>
    </w:p>
    <w:p>
      <w:pPr>
        <w:jc w:val="both"/>
      </w:pPr>
      <w:r>
        <w:t>5. Comunicar resultado y enlace o archivo recibido. Si solo se entrega texto o una descarga, indicar el destino previsto y la persistencia pendiente.</w:t>
      </w:r>
    </w:p>
    <w:p>
      <w:pPr>
        <w:jc w:val="both"/>
      </w:pPr>
      <w:r>
        <w:t xml:space="preserve">La descarga de una sesión no confirma que la carpeta del consultor haya cambiado. En un medio sin escritura, entregar un ZIP de cambios con rutas relativas y una relación de altas/sustituciones; el responsable conserva la versión anterior e incorpora los cambios. La siguiente sesión usa esa copia actualizada. Las instrucciones de </w:t>
      </w:r>
      <w:hyperlink r:id="rId19">
        <w:r>
          <w:rPr>
            <w:color w:val="151B73"/>
          </w:rPr>
          <w:t>uso por entorno</w:t>
        </w:r>
      </w:hyperlink>
      <w:r>
        <w:t xml:space="preserve"> precisan la preparación y la continuidad.</w:t>
      </w:r>
    </w:p>
    <w:p>
      <w:pPr>
        <w:pStyle w:val="Heading1"/>
      </w:pPr>
      <w:r>
        <w:t>3 Glosario de lectura</w:t>
      </w:r>
    </w:p>
    <w:p>
      <w:pPr>
        <w:keepNext/>
        <w:jc w:val="both"/>
      </w:pPr>
      <w:r>
        <w:t>Versión 0.2 · Lectura inicial</w:t>
      </w:r>
    </w:p>
    <w:p>
      <w:pPr>
        <w:jc w:val="both"/>
      </w:pPr>
      <w:r>
        <w:t xml:space="preserve">Go2Rev conecta una evaluación Diagnostic, un diseño Design y un Despliegue dentro de un encargo. La </w:t>
      </w:r>
      <w:hyperlink r:id="rId20">
        <w:r>
          <w:rPr>
            <w:color w:val="151B73"/>
          </w:rPr>
          <w:t>entrada común</w:t>
        </w:r>
      </w:hyperlink>
      <w:r>
        <w:t xml:space="preserve"> selecciona la tarea; el </w:t>
      </w:r>
      <w:hyperlink r:id="rId21">
        <w:r>
          <w:rPr>
            <w:color w:val="151B73"/>
          </w:rPr>
          <w:t>diccionario completo</w:t>
        </w:r>
      </w:hyperlink>
      <w:r>
        <w:t xml:space="preserve"> conserva la definición de cada registro.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Término</w:t>
            </w:r>
          </w:p>
        </w:tc>
        <w:tc>
          <w:tcPr>
            <w:tcW w:type="dxa" w:w="67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Significado práctico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Nodo N01–N17</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 que produce un análisis o contenido; no exige diecisiete archivos ni un orden lineal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 K01–K17</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recibe y entrega cada capacidad, con su ámbito y límites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 / B</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existente en contexto nuevo / nueva iniciativa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 / 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exploratoria / uso operativo habilitado para una acción y alcance determinados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 / AF</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identificada / afirmación y su fundamento: observación, declaración, inferencia o hipótesis</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HUE / SOL / CON</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Carencia con efecto / solicitud selectiva para resolverla / contradicción entre contenidos comparables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TRA / CAP</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Análisis de transferencia entre origen y destino / capacidad disponible, por habilitar o limitada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 / CAM</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de quien tiene autoridad / cambio con productor, efecto y consumidores afectados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 / CONTR / USO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Contenido necesario antes de evaluar el encargo contratado / contratar / efectuar el uso que depende de él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Núcleo / Condicional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Contenido requerido para el resultado indicado / contenido exigible cuando se activa su condición</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Versión</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Identificación de un contenido que puede ser citado y recuperado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Revisión documental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Examen del contenido; identifica autor, fecha, alcance y hallazgos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Modificación cuyo efecto debe evaluarse; puede exigir nueva versión o decisión</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 editable / Vista</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Lugar donde se corrige el contenido / presentación derivada para un destinatario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 / Design / Despliegue</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y recomendación / diseño conectado / preparación, comprobación y transferencia del alcance autorizado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Consultor / Asistente</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 del análisis y servicio / medio que investiga, analiza, calcula y produce los materiales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Persona con autoridad sobre alcance, recursos y compromisos del cliente</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 Responsable de un medio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utilizará las piezas / quien gobierna un dato, sistema o recurso; pueden coincidir</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 / Receptor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Organización contratante / persona que recibe una entrega concreta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Conector o integración / MCP</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 de acceso a otro servicio / protocolo que puede implementar ese acceso; ninguno acredita contenido leído</w:t>
            </w:r>
          </w:p>
        </w:tc>
      </w:tr>
    </w:tbl>
    <w:p>
      <w:pPr>
        <w:spacing w:after="40" w:before="0" w:line="120" w:lineRule="auto"/>
      </w:pPr>
    </w:p>
    <w:p>
      <w:pPr>
        <w:jc w:val="both"/>
      </w:pPr>
      <w:r>
        <w:t>El consultor trabaja con títulos y decisiones comprensibles; los códigos ayudan a localizar el fundamento.</w:t>
      </w:r>
    </w:p>
    <w:p>
      <w:pPr>
        <w:pStyle w:val="Heading1"/>
      </w:pPr>
      <w:r>
        <w:t>4 Implementación de la prestación</w:t>
      </w:r>
    </w:p>
    <w:p>
      <w:pPr>
        <w:keepNext/>
        <w:jc w:val="both"/>
      </w:pPr>
      <w:r>
        <w:t>Versión de conjunto 0.2 · 11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22">
        <w:r>
          <w:rPr>
            <w:color w:val="151B73"/>
          </w:rPr>
          <w:t>alcance disponible</w:t>
        </w:r>
      </w:hyperlink>
      <w:r>
        <w:t xml:space="preserve"> y abrir </w:t>
      </w:r>
      <w:hyperlink r:id="rId23">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 xml:space="preserve">Conservar una copia identificada de esta versión del producto y crear el espacio de la prestación fuera de sus fuentes generales. Aplicar la </w:t>
      </w:r>
      <w:hyperlink r:id="rId11">
        <w:r>
          <w:rPr>
            <w:color w:val="151B73"/>
          </w:rPr>
          <w:t>estructura de carpetas</w:t>
        </w:r>
      </w:hyperlink>
      <w:r>
        <w:t>: Sistema, Entregables, Anexos, QA, Archivo y Operacion. Preparar una vez el índice vacío y conservar la raíz durante las siguientes sesiones. No se prescribe una aplicación, base de datos ni un archivo por K. Un índice actual permite encontrar la tarea, su fuente editable, versión, responsable y límite.</w:t>
      </w:r>
    </w:p>
    <w:p>
      <w:pPr>
        <w:jc w:val="both"/>
      </w:pPr>
      <w:r>
        <w:t xml:space="preserve">Si se utiliza un LLM, aportar la </w:t>
      </w:r>
      <w:hyperlink r:id="rId20">
        <w:r>
          <w:rPr>
            <w:color w:val="151B73"/>
          </w:rPr>
          <w:t>entrada común</w:t>
        </w:r>
      </w:hyperlink>
      <w:r>
        <w:t xml:space="preserve"> y acceso selectivo a las instrucciones y materiales autorizados. Comprobar disponibilidad por acción necesaria mediante las </w:t>
      </w:r>
      <w:hyperlink r:id="rId24">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Seguir </w:t>
      </w:r>
      <w:hyperlink r:id="rId25">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26">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27">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28">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29">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30">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31">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32">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33">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34">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La experiencia de una prestación puede justificar una mejora de Go2Rev mediante causa, alcance y regla general. La </w:t>
      </w:r>
      <w:hyperlink r:id="rId35">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2"/>
      </w:pPr>
      <w:r>
        <w:t>Arranque por entorno y primera pasada</w:t>
      </w:r>
    </w:p>
    <w:p>
      <w:pPr>
        <w:jc w:val="both"/>
      </w:pPr>
      <w:r>
        <w:t xml:space="preserve">Para preparar ChatGPT Work, Claude Cowork o un chat, seguir </w:t>
      </w:r>
      <w:hyperlink r:id="rId19">
        <w:r>
          <w:rPr>
            <w:color w:val="151B73"/>
          </w:rPr>
          <w:t>uso por entorno</w:t>
        </w:r>
      </w:hyperlink>
      <w:r>
        <w:t xml:space="preserve">. La </w:t>
      </w:r>
      <w:hyperlink r:id="rId18">
        <w:r>
          <w:rPr>
            <w:color w:val="151B73"/>
          </w:rPr>
          <w:t>primera pasada</w:t>
        </w:r>
      </w:hyperlink>
      <w:r>
        <w:t xml:space="preserve"> delimita el núcleo por nodo; la </w:t>
      </w:r>
      <w:hyperlink r:id="rId36">
        <w:r>
          <w:rPr>
            <w:color w:val="151B73"/>
          </w:rPr>
          <w:t>suficiencia por uso</w:t>
        </w:r>
      </w:hyperlink>
      <w:r>
        <w:t xml:space="preserve"> gobierna cuándo ampliar. Se mantienen los diecisiete nodos y los contratos completos.</w:t>
      </w:r>
    </w:p>
    <w:p>
      <w:pPr>
        <w:pStyle w:val="Heading1"/>
      </w:pPr>
      <w:r>
        <w:t>5 Alcance y variantes</w:t>
      </w:r>
    </w:p>
    <w:p>
      <w:pPr>
        <w:keepNext/>
        <w:jc w:val="both"/>
      </w:pPr>
      <w:r>
        <w:t>Versión de conjunto 0.2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37">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38">
        <w:r>
          <w:rPr>
            <w:color w:val="151B73"/>
          </w:rPr>
          <w:t>variantes de oferta y operación</w:t>
        </w:r>
      </w:hyperlink>
      <w:r>
        <w:t xml:space="preserve">, </w:t>
      </w:r>
      <w:hyperlink r:id="rId39">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de seis hojas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30">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24">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pStyle w:val="Heading1"/>
      </w:pPr>
      <w:r>
        <w:t>6 Composición de entregables y recepción</w:t>
      </w:r>
    </w:p>
    <w:p>
      <w:pPr>
        <w:keepNext/>
        <w:jc w:val="both"/>
      </w:pPr>
      <w:r>
        <w:t>Versión de conjunto 0.2 · Guía de producción para una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40">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41">
        <w:r>
          <w:rPr>
            <w:color w:val="151B73"/>
          </w:rPr>
          <w:t>plantillas de posición y rutas</w:t>
        </w:r>
      </w:hyperlink>
      <w:r>
        <w:t xml:space="preserve">, </w:t>
      </w:r>
      <w:hyperlink r:id="rId42">
        <w:r>
          <w:rPr>
            <w:color w:val="151B73"/>
          </w:rPr>
          <w:t>oferta y cumplimiento</w:t>
        </w:r>
      </w:hyperlink>
      <w:r>
        <w:t xml:space="preserve"> y </w:t>
      </w:r>
      <w:hyperlink r:id="rId43">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44">
        <w:r>
          <w:rPr>
            <w:color w:val="151B73"/>
          </w:rPr>
          <w:t>modelo y conclusión</w:t>
        </w:r>
      </w:hyperlink>
      <w:r>
        <w:t xml:space="preserve">, </w:t>
      </w:r>
      <w:hyperlink r:id="rId45">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46">
        <w:r>
          <w:rPr>
            <w:color w:val="151B73"/>
          </w:rPr>
          <w:t>pieza y guía</w:t>
        </w:r>
      </w:hyperlink>
      <w:r>
        <w:t xml:space="preserve">. La </w:t>
      </w:r>
      <w:hyperlink r:id="rId47">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48">
        <w:r>
          <w:rPr>
            <w:color w:val="151B73"/>
          </w:rPr>
          <w:t>cobertura y preparación</w:t>
        </w:r>
      </w:hyperlink>
      <w:r>
        <w:t xml:space="preserve">, </w:t>
      </w:r>
      <w:hyperlink r:id="rId49">
        <w:r>
          <w:rPr>
            <w:color w:val="151B73"/>
          </w:rPr>
          <w:t>observación y corrección</w:t>
        </w:r>
      </w:hyperlink>
      <w:r>
        <w:t xml:space="preserve"> y </w:t>
      </w:r>
      <w:hyperlink r:id="rId50">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etodo/operacion_conversacional/v0.2/08_carpetas_y_guardado.md" TargetMode="External"/><Relationship Id="rId12" Type="http://schemas.openxmlformats.org/officeDocument/2006/relationships/hyperlink" Target="https://learn.chatgpt.com/docs/projects" TargetMode="External"/><Relationship Id="rId13" Type="http://schemas.openxmlformats.org/officeDocument/2006/relationships/hyperlink" Target="https://learn.chatgpt.com/docs/web" TargetMode="External"/><Relationship Id="rId14" Type="http://schemas.openxmlformats.org/officeDocument/2006/relationships/hyperlink" Target="https://support.claude.com/en/articles/14116274-organize-your-tasks-with-projects-in-claude-cowork" TargetMode="External"/><Relationship Id="rId15" Type="http://schemas.openxmlformats.org/officeDocument/2006/relationships/hyperlink" Target="https://support.claude.com/en/articles/15520349-use-claude-cowork-on-web-desktop-and-mobile" TargetMode="External"/><Relationship Id="rId16" Type="http://schemas.openxmlformats.org/officeDocument/2006/relationships/hyperlink" Target="https://support.claude.com/en/articles/9519177-how-can-i-create-and-manage-projects" TargetMode="External"/><Relationship Id="rId17" Type="http://schemas.openxmlformats.org/officeDocument/2006/relationships/hyperlink" Target="LEEME.md" TargetMode="External"/><Relationship Id="rId18" Type="http://schemas.openxmlformats.org/officeDocument/2006/relationships/hyperlink" Target="../../metodo/operacion_conversacional/v0.2/10_primera_pasada.md" TargetMode="External"/><Relationship Id="rId19" Type="http://schemas.openxmlformats.org/officeDocument/2006/relationships/hyperlink" Target="../../metodo/operacion_conversacional/v0.2/09_uso_por_entorno.md" TargetMode="External"/><Relationship Id="rId20" Type="http://schemas.openxmlformats.org/officeDocument/2006/relationships/hyperlink" Target="../../metodo/operacion_conversacional/v0.2/ENTRADA_GO2REV.md" TargetMode="External"/><Relationship Id="rId21" Type="http://schemas.openxmlformats.org/officeDocument/2006/relationships/hyperlink" Target="../../metodo/encargo_y_conocimiento/v0.1/03_contratos_y_diccionario.md" TargetMode="External"/><Relationship Id="rId22" Type="http://schemas.openxmlformats.org/officeDocument/2006/relationships/hyperlink" Target="02_alcance_y_variantes.md" TargetMode="External"/><Relationship Id="rId23" Type="http://schemas.openxmlformats.org/officeDocument/2006/relationships/hyperlink" Target="../../metodo/encargo_y_conocimiento/v0.1/01_encargo_y_salida.md" TargetMode="External"/><Relationship Id="rId24" Type="http://schemas.openxmlformats.org/officeDocument/2006/relationships/hyperlink" Target="../../metodo/operacion_conversacional/v0.2/03_capacidades_y_alternativas.md" TargetMode="External"/><Relationship Id="rId25" Type="http://schemas.openxmlformats.org/officeDocument/2006/relationships/hyperlink" Target="../../metodo/encargo_y_conocimiento/v0.1/02_conocimiento_y_solicitud.md" TargetMode="External"/><Relationship Id="rId26" Type="http://schemas.openxmlformats.org/officeDocument/2006/relationships/hyperlink" Target="../../metodo/investigacion_y_diagnostic/v0.2/01_investigacion_y_suficiencia.md" TargetMode="External"/><Relationship Id="rId27" Type="http://schemas.openxmlformats.org/officeDocument/2006/relationships/hyperlink" Target="../../metodo/investigacion_y_diagnostic/v0.2/08_investigacion_externa_y_contraste.md" TargetMode="External"/><Relationship Id="rId28" Type="http://schemas.openxmlformats.org/officeDocument/2006/relationships/hyperlink" Target="../../metodo/investigacion_y_diagnostic/v0.2/09_rutina_de_fuentes_y_acceso.md" TargetMode="External"/><Relationship Id="rId29" Type="http://schemas.openxmlformats.org/officeDocument/2006/relationships/hyperlink" Target="../../metodo/investigacion_y_diagnostic/v0.2/06_contratos_y_economia_exploratoria.md" TargetMode="External"/><Relationship Id="rId30" Type="http://schemas.openxmlformats.org/officeDocument/2006/relationships/hyperlink" Target="../../metodo/oferta_entrega_y_economia/v0.1/08_guia_del_modelo.md" TargetMode="External"/><Relationship Id="rId31" Type="http://schemas.openxmlformats.org/officeDocument/2006/relationships/hyperlink" Target="../../metodo/operacion_conversacional/v0.2/02_rutas_y_lectura.md" TargetMode="External"/><Relationship Id="rId32" Type="http://schemas.openxmlformats.org/officeDocument/2006/relationships/hyperlink" Target="../../metodo/medicion_preparacion_y_transferencia/v0.1/05_comprobacion_de_preparacion.md" TargetMode="External"/><Relationship Id="rId33" Type="http://schemas.openxmlformats.org/officeDocument/2006/relationships/hyperlink" Target="03_entregables_y_recepcion.md" TargetMode="External"/><Relationship Id="rId34" Type="http://schemas.openxmlformats.org/officeDocument/2006/relationships/hyperlink" Target="../../metodo/operacion_conversacional/v0.2/05_continuidad_y_cambios.md" TargetMode="External"/><Relationship Id="rId35" Type="http://schemas.openxmlformats.org/officeDocument/2006/relationships/hyperlink" Target="05_versiones_y_mantenimiento.md" TargetMode="External"/><Relationship Id="rId36" Type="http://schemas.openxmlformats.org/officeDocument/2006/relationships/hyperlink" Target="../../metodo/operacion_conversacional/v0.2/12_nucleo_y_suficiencia.md" TargetMode="External"/><Relationship Id="rId37" Type="http://schemas.openxmlformats.org/officeDocument/2006/relationships/hyperlink" Target="../../metodo/posicionamiento_demanda_y_conversion/v0.1/05_variantes_y_traspasos.md" TargetMode="External"/><Relationship Id="rId38" Type="http://schemas.openxmlformats.org/officeDocument/2006/relationships/hyperlink" Target="../../metodo/oferta_entrega_y_economia/v0.1/05_variantes_de_oferta_y_operacion.md" TargetMode="External"/><Relationship Id="rId39" Type="http://schemas.openxmlformats.org/officeDocument/2006/relationships/hyperlink" Target="../../metodo/oferta_entrega_y_economia/v0.1/04_formulas_y_dominio.md" TargetMode="External"/><Relationship Id="rId40" Type="http://schemas.openxmlformats.org/officeDocument/2006/relationships/hyperlink" Target="../../metodo/investigacion_y_diagnostic/v0.2/LEEME.md" TargetMode="External"/><Relationship Id="rId41" Type="http://schemas.openxmlformats.org/officeDocument/2006/relationships/hyperlink" Target="../../metodo/posicionamiento_demanda_y_conversion/v0.1/LEEME.md" TargetMode="External"/><Relationship Id="rId42" Type="http://schemas.openxmlformats.org/officeDocument/2006/relationships/hyperlink" Target="../../metodo/oferta_entrega_y_economia/v0.1/LEEME.md" TargetMode="External"/><Relationship Id="rId43" Type="http://schemas.openxmlformats.org/officeDocument/2006/relationships/hyperlink" Target="../../metodo/medicion_preparacion_y_transferencia/v0.1/plantillas/01_evento_y_medida.md" TargetMode="External"/><Relationship Id="rId44" Type="http://schemas.openxmlformats.org/officeDocument/2006/relationships/hyperlink" Target="../../metodo/oferta_entrega_y_economia/v0.1/plantillas/05_modelo_y_conclusion.md" TargetMode="External"/><Relationship Id="rId45" Type="http://schemas.openxmlformats.org/officeDocument/2006/relationships/hyperlink" Target="../../metodo/oferta_entrega_y_economia/v0.1/plantillas/06_comparacion.md" TargetMode="External"/><Relationship Id="rId46" Type="http://schemas.openxmlformats.org/officeDocument/2006/relationships/hyperlink" Target="../../metodo/medicion_preparacion_y_transferencia/v0.1/plantillas/05_pieza_y_configuracion.md" TargetMode="External"/><Relationship Id="rId47" Type="http://schemas.openxmlformats.org/officeDocument/2006/relationships/hyperlink" Target="../../metodo/medicion_preparacion_y_transferencia/v0.1/04_materializacion_y_uso.md" TargetMode="External"/><Relationship Id="rId48" Type="http://schemas.openxmlformats.org/officeDocument/2006/relationships/hyperlink" Target="../../metodo/medicion_preparacion_y_transferencia/v0.1/plantillas/07_cobertura_y_preparacion.md" TargetMode="External"/><Relationship Id="rId49" Type="http://schemas.openxmlformats.org/officeDocument/2006/relationships/hyperlink" Target="../../metodo/medicion_preparacion_y_transferencia/v0.1/plantillas/06_observacion_y_correccion.md" TargetMode="External"/><Relationship Id="rId50"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v0.2</dc:subject>
  <dc:creator>RevOps Studio</dc:creator>
  <cp:keywords/>
  <dc:description/>
  <cp:lastModifiedBy/>
  <cp:revision>1</cp:revision>
  <dcterms:created xsi:type="dcterms:W3CDTF">2013-12-23T23:15:00Z</dcterms:created>
  <dcterms:modified xsi:type="dcterms:W3CDTF">2013-12-23T23:15:00Z</dcterms:modified>
  <cp:category/>
</cp:coreProperties>
</file>