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600"/>
      </w:pPr>
      <w:r>
        <w:rPr>
          <w:rFonts w:ascii="Georgia" w:cs="Georgia" w:eastAsia="Georgia" w:hAnsi="Georgia"/>
          <w:b/>
          <w:bCs/>
          <w:color w:val="1C1B1A"/>
          <w:sz w:val="88"/>
          <w:szCs w:val="88"/>
        </w:rPr>
        <w:t xml:space="preserve">RevOS</w:t>
      </w:r>
    </w:p>
    <w:p>
      <w:pPr>
        <w:spacing w:after="480"/>
      </w:pPr>
      <w:r>
        <w:rPr>
          <w:rFonts w:ascii="Arial" w:cs="Arial" w:eastAsia="Arial" w:hAnsi="Arial"/>
          <w:color w:val="6B6862"/>
          <w:sz w:val="26"/>
          <w:szCs w:val="26"/>
        </w:rPr>
        <w:t xml:space="preserve">Sistema de revenue para empresas B2B</w:t>
      </w:r>
    </w:p>
    <w:p>
      <w:pPr>
        <w:pBdr>
          <w:top w:val="single" w:color="C129A1" w:sz="18"/>
        </w:pBdr>
        <w:spacing w:after="240"/>
      </w:pPr>
      <w:r>
        <w:t xml:space="preserve"/>
      </w:r>
    </w:p>
    <w:p>
      <w:pPr>
        <w:spacing w:after="200"/>
      </w:pPr>
      <w:r>
        <w:rPr>
          <w:rFonts w:ascii="Arial" w:cs="Arial" w:eastAsia="Arial" w:hAnsi="Arial"/>
          <w:b/>
          <w:bCs/>
          <w:color w:val="1C1B1A"/>
          <w:sz w:val="26"/>
          <w:szCs w:val="26"/>
        </w:rPr>
        <w:t xml:space="preserve">DOCUMENTO MAESTRO DE REFERENCIA</w:t>
      </w:r>
    </w:p>
    <w:p>
      <w:pPr>
        <w:spacing w:after="140" w:line="300"/>
      </w:pPr>
      <w:r>
        <w:rPr>
          <w:rFonts w:ascii="Arial" w:cs="Arial" w:eastAsia="Arial" w:hAnsi="Arial"/>
          <w:color w:val="1C1B1A"/>
          <w:sz w:val="21"/>
          <w:szCs w:val="21"/>
        </w:rPr>
        <w:t xml:space="preserve">Descripción completa del sistema RevOS: tiers, plugin, skills, agentes, flujo, convenciones y operativa.</w:t>
      </w:r>
    </w:p>
    <w:p>
      <w:pPr>
        <w:spacing w:after="140" w:line="300"/>
      </w:pPr>
      <w:r>
        <w:rPr>
          <w:rFonts w:ascii="Arial" w:cs="Arial" w:eastAsia="Arial" w:hAnsi="Arial"/>
          <w:b/>
          <w:bCs/>
          <w:color w:val="1C1B1A"/>
          <w:sz w:val="21"/>
          <w:szCs w:val="21"/>
        </w:rPr>
        <w:t xml:space="preserve">Vista derivada. </w:t>
      </w:r>
      <w:r>
        <w:rPr>
          <w:rFonts w:ascii="Arial" w:cs="Arial" w:eastAsia="Arial" w:hAnsi="Arial"/>
          <w:color w:val="1C1B1A"/>
          <w:sz w:val="21"/>
          <w:szCs w:val="21"/>
        </w:rPr>
        <w:t xml:space="preserve">Las fuentes canónicas son los ficheros del plugin revos — grafo de dependencias, convenciones transversales, mapa de conectores y las 31 skills. Cualquier discrepancia se resuelve a favor de las fuentes; este documento se regenera desde ellas, nunca se edita a mano.</w:t>
      </w:r>
    </w:p>
    <w:p>
      <w:pPr>
        <w:spacing w:after="140" w:line="300"/>
      </w:pPr>
      <w:r>
        <w:rPr>
          <w:rFonts w:ascii="Arial" w:cs="Arial" w:eastAsia="Arial" w:hAnsi="Arial"/>
          <w:color w:val="6B6862"/>
          <w:sz w:val="21"/>
          <w:szCs w:val="21"/>
        </w:rPr>
        <w:t xml:space="preserve">Versión 3.0 · Agosto 2026 · RevOps Studio · incorpora la doctrina de avance v4.3 y el parche de higiene v4.3.1 (grafo alineado, registro canónico de artefactos, enums de QA, secuencia de cierre).</w:t>
      </w:r>
    </w:p>
    <w:p>
      <w:r>
        <w:br w:type="page"/>
      </w:r>
    </w:p>
    <w:p>
      <w:pPr>
        <w:spacing w:after="40" w:before="360"/>
      </w:pPr>
      <w:r>
        <w:rPr>
          <w:rFonts w:ascii="Arial" w:cs="Arial" w:eastAsia="Arial" w:hAnsi="Arial"/>
          <w:color w:val="C129A1"/>
          <w:sz w:val="19"/>
          <w:szCs w:val="19"/>
        </w:rPr>
        <w:t xml:space="preserve">— Sección 1</w:t>
      </w:r>
    </w:p>
    <w:p>
      <w:pPr>
        <w:pStyle w:val="Heading1"/>
        <w:spacing w:after="160"/>
      </w:pPr>
      <w:r>
        <w:rPr>
          <w:rFonts w:ascii="Georgia" w:cs="Georgia" w:eastAsia="Georgia" w:hAnsi="Georgia"/>
          <w:b/>
          <w:bCs/>
          <w:color w:val="1C1B1A"/>
          <w:sz w:val="40"/>
          <w:szCs w:val="40"/>
        </w:rPr>
        <w:t xml:space="preserve">Qué es RevOS</w:t>
      </w:r>
    </w:p>
    <w:p>
      <w:pPr>
        <w:spacing w:after="140" w:line="300"/>
      </w:pPr>
      <w:r>
        <w:rPr>
          <w:rFonts w:ascii="Arial" w:cs="Arial" w:eastAsia="Arial" w:hAnsi="Arial"/>
          <w:color w:val="1C1B1A"/>
          <w:sz w:val="21"/>
          <w:szCs w:val="21"/>
        </w:rPr>
        <w:t xml:space="preserve">RevOS es un sistema de diagnóstico y diseño de revenue para empresas B2B con equipo comercial propio y marketing poco estructurado. No es una consultoría al uso, no es una agencia, no es un fractional CMO.</w:t>
      </w:r>
    </w:p>
    <w:p>
      <w:pPr>
        <w:spacing w:after="140" w:line="300"/>
      </w:pPr>
      <w:r>
        <w:rPr>
          <w:rFonts w:ascii="Arial" w:cs="Arial" w:eastAsia="Arial" w:hAnsi="Arial"/>
          <w:color w:val="1C1B1A"/>
          <w:sz w:val="21"/>
          <w:szCs w:val="21"/>
        </w:rPr>
        <w:t xml:space="preserve">Es lo que un Chief Revenue Officer, Director de Marketing o Comercial construirían durante los primeros 6 meses, entregado en semanas, en documentos operativos que pertenecen a la empresa.</w:t>
      </w:r>
    </w:p>
    <w:p>
      <w:pPr>
        <w:spacing w:after="140" w:line="300"/>
      </w:pPr>
      <w:r>
        <w:rPr>
          <w:rFonts w:ascii="Arial" w:cs="Arial" w:eastAsia="Arial" w:hAnsi="Arial"/>
          <w:i/>
          <w:iCs/>
          <w:color w:val="6B6862"/>
          <w:sz w:val="21"/>
          <w:szCs w:val="21"/>
        </w:rPr>
        <w:t xml:space="preserve">“Revenue systems para empresas B2B que han dejado de crecer de forma predecible.”</w:t>
      </w:r>
    </w:p>
    <w:p>
      <w:pPr>
        <w:pStyle w:val="Heading2"/>
        <w:spacing w:after="120" w:before="280"/>
      </w:pPr>
      <w:r>
        <w:rPr>
          <w:rFonts w:ascii="Georgia" w:cs="Georgia" w:eastAsia="Georgia" w:hAnsi="Georgia"/>
          <w:b/>
          <w:bCs/>
          <w:color w:val="1C1B1A"/>
          <w:sz w:val="27"/>
          <w:szCs w:val="27"/>
        </w:rPr>
        <w:t xml:space="preserve">El problema que resuelve</w:t>
      </w:r>
    </w:p>
    <w:p>
      <w:pPr>
        <w:spacing w:after="140" w:line="300"/>
      </w:pPr>
      <w:r>
        <w:rPr>
          <w:rFonts w:ascii="Arial" w:cs="Arial" w:eastAsia="Arial" w:hAnsi="Arial"/>
          <w:color w:val="1C1B1A"/>
          <w:sz w:val="21"/>
          <w:szCs w:val="21"/>
        </w:rPr>
        <w:t xml:space="preserve">Las empresas B2B con trayectoria no tienen un problema de leads: tienen un problema de sistema. Marketing hace cosas, ventas hace otras, el founder sigue siendo el principal cerrador y nadie entiende exactamente dónde se rompe la cadena. Sin un sistema diseñado, cada inversión táctica —una campaña, un CRM, una agencia— opera en el vacío.</w:t>
      </w:r>
    </w:p>
    <w:p>
      <w:pPr>
        <w:pStyle w:val="Heading2"/>
        <w:spacing w:after="120" w:before="280"/>
      </w:pPr>
      <w:r>
        <w:rPr>
          <w:rFonts w:ascii="Georgia" w:cs="Georgia" w:eastAsia="Georgia" w:hAnsi="Georgia"/>
          <w:b/>
          <w:bCs/>
          <w:color w:val="1C1B1A"/>
          <w:sz w:val="27"/>
          <w:szCs w:val="27"/>
        </w:rPr>
        <w:t xml:space="preserve">El Ideal Customer Profile</w:t>
      </w:r>
    </w:p>
    <w:p>
      <w:pPr>
        <w:spacing w:after="140" w:line="300"/>
      </w:pPr>
      <w:r>
        <w:rPr>
          <w:rFonts w:ascii="Arial" w:cs="Arial" w:eastAsia="Arial" w:hAnsi="Arial"/>
          <w:color w:val="1C1B1A"/>
          <w:sz w:val="21"/>
          <w:szCs w:val="21"/>
        </w:rPr>
        <w:t xml:space="preserve">El scope de empresa es deliberadamente abierto: empresas B2B, sin calificativo de tamaño ni sector. El criterio de encaje no es la facturación sino la situación estructural: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Dimensión</w:t>
            </w:r>
          </w:p>
        </w:tc>
        <w:tc>
          <w:tcPr>
            <w:tcW w:type="dxa" w:w="68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Descripción</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Perfil</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CEO/Founder o Dirección de empresa B2B con equipo comercial propio y marketing sin impacto visible en pipeline.</w:t>
            </w:r>
          </w:p>
        </w:tc>
      </w:tr>
      <w:tr>
        <w:trPr>
          <w:cantSplit/>
        </w:trPr>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Señal de compra</w:t>
            </w:r>
          </w:p>
        </w:tc>
        <w:tc>
          <w:tcPr>
            <w:tcW w:type="dxa" w:w="68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Dependencia del founder o de pocos perfiles para vender, ciclos “feast or famine”, baja predictibilidad del revenue.</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Necesidad real</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Generar revenue predecible sin construir (todavía) una estructura senior a tiempo completo.</w:t>
            </w:r>
          </w:p>
        </w:tc>
      </w:tr>
      <w:tr>
        <w:trPr>
          <w:cantSplit/>
        </w:trPr>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Criterios de decisión</w:t>
            </w:r>
          </w:p>
        </w:tc>
        <w:tc>
          <w:tcPr>
            <w:tcW w:type="dxa" w:w="68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Claridad de alcance y entregables, seniority real, velocidad de puesta en marcha, coste menor que un rol de dirección.</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ICPs secundarios</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Director/Head of Sales con fricción en conversión · Empresa B2B tech/scaleup que necesita orden en posicionamiento y funnel.</w:t>
            </w:r>
          </w:p>
        </w:tc>
      </w:tr>
    </w:tbl>
    <w:p>
      <w:pPr>
        <w:spacing w:after="40" w:before="360"/>
      </w:pPr>
      <w:r>
        <w:rPr>
          <w:rFonts w:ascii="Arial" w:cs="Arial" w:eastAsia="Arial" w:hAnsi="Arial"/>
          <w:color w:val="C129A1"/>
          <w:sz w:val="19"/>
          <w:szCs w:val="19"/>
        </w:rPr>
        <w:t xml:space="preserve">— Sección 2</w:t>
      </w:r>
    </w:p>
    <w:p>
      <w:pPr>
        <w:pStyle w:val="Heading1"/>
        <w:spacing w:after="160"/>
      </w:pPr>
      <w:r>
        <w:rPr>
          <w:rFonts w:ascii="Georgia" w:cs="Georgia" w:eastAsia="Georgia" w:hAnsi="Georgia"/>
          <w:b/>
          <w:bCs/>
          <w:color w:val="1C1B1A"/>
          <w:sz w:val="40"/>
          <w:szCs w:val="40"/>
        </w:rPr>
        <w:t xml:space="preserve">Tiers del sistema</w:t>
      </w:r>
    </w:p>
    <w:p>
      <w:pPr>
        <w:spacing w:after="140" w:line="300"/>
      </w:pPr>
      <w:r>
        <w:rPr>
          <w:rFonts w:ascii="Arial" w:cs="Arial" w:eastAsia="Arial" w:hAnsi="Arial"/>
          <w:color w:val="1C1B1A"/>
          <w:sz w:val="21"/>
          <w:szCs w:val="21"/>
        </w:rPr>
        <w:t xml:space="preserve">RevOS se comercializa en tres niveles según la situación interna, madurez y necesidad del cliente. Complete es acumulativa (contiene Essentials). Las Activaciones opcionales son modulares y requieren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Tier</w:t>
            </w:r>
          </w:p>
        </w:tc>
        <w:tc>
          <w:tcPr>
            <w:tcW w:type="dxa" w:w="48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Descripción</w:t>
            </w:r>
          </w:p>
        </w:tc>
        <w:tc>
          <w:tcPr>
            <w:tcW w:type="dxa" w:w="22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Entregables</w:t>
            </w:r>
          </w:p>
        </w:tc>
      </w:tr>
      <w:tr>
        <w:trPr>
          <w:cantSplit/>
        </w:trPr>
        <w:tc>
          <w:tcPr>
            <w:tcW w:type="dxa" w:w="2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 Essentials</w:t>
            </w:r>
          </w:p>
        </w:tc>
        <w:tc>
          <w:tcPr>
            <w:tcW w:type="dxa" w:w="4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El sistema mínimo viable: diagnóstico, arquitectura estratégica y roadmap accionable.</w:t>
            </w:r>
          </w:p>
        </w:tc>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8</w:t>
            </w:r>
          </w:p>
        </w:tc>
      </w:tr>
      <w:tr>
        <w:trPr>
          <w:cantSplit/>
        </w:trPr>
        <w:tc>
          <w:tcPr>
            <w:tcW w:type="dxa" w:w="2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 Complete</w:t>
            </w:r>
          </w:p>
        </w:tc>
        <w:tc>
          <w:tcPr>
            <w:tcW w:type="dxa" w:w="48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El sistema completo con la capa de activación operativa: stack, CRM y métricas.</w:t>
            </w:r>
          </w:p>
        </w:tc>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16</w:t>
            </w:r>
          </w:p>
        </w:tc>
      </w:tr>
      <w:tr>
        <w:trPr>
          <w:cantSplit/>
        </w:trPr>
        <w:tc>
          <w:tcPr>
            <w:tcW w:type="dxa" w:w="2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Activaciones opcionales</w:t>
            </w:r>
          </w:p>
        </w:tc>
        <w:tc>
          <w:tcPr>
            <w:tcW w:type="dxa" w:w="4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Módulos según madurez del equipo: media plan, calendario editorial, playbook, copy, CRM selection, reporting.</w:t>
            </w:r>
          </w:p>
        </w:tc>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6 independientes · precio modular</w:t>
            </w:r>
          </w:p>
        </w:tc>
      </w:tr>
    </w:tbl>
    <w:p>
      <w:pPr>
        <w:spacing w:after="40" w:before="360"/>
      </w:pPr>
      <w:r>
        <w:rPr>
          <w:rFonts w:ascii="Arial" w:cs="Arial" w:eastAsia="Arial" w:hAnsi="Arial"/>
          <w:color w:val="C129A1"/>
          <w:sz w:val="19"/>
          <w:szCs w:val="19"/>
        </w:rPr>
        <w:t xml:space="preserve">— Sección 3</w:t>
      </w:r>
    </w:p>
    <w:p>
      <w:pPr>
        <w:pStyle w:val="Heading1"/>
        <w:spacing w:after="160"/>
      </w:pPr>
      <w:r>
        <w:rPr>
          <w:rFonts w:ascii="Georgia" w:cs="Georgia" w:eastAsia="Georgia" w:hAnsi="Georgia"/>
          <w:b/>
          <w:bCs/>
          <w:color w:val="1C1B1A"/>
          <w:sz w:val="40"/>
          <w:szCs w:val="40"/>
        </w:rPr>
        <w:t xml:space="preserve">Arquitectura operativa — el plugin revos</w:t>
      </w:r>
    </w:p>
    <w:p>
      <w:pPr>
        <w:spacing w:after="140" w:line="300"/>
      </w:pPr>
      <w:r>
        <w:rPr>
          <w:rFonts w:ascii="Arial" w:cs="Arial" w:eastAsia="Arial" w:hAnsi="Arial"/>
          <w:color w:val="1C1B1A"/>
          <w:sz w:val="21"/>
          <w:szCs w:val="21"/>
        </w:rPr>
        <w:t xml:space="preserve">Desde la v4, RevOS se opera íntegramente en Claude/Cowork mediante el plugin interno “revos”. La arquitectura es skills-only: 31 skills ejecutables — 24 de producción y 7 de control — que implementan los 28 nodos del grafo (26 reales y 2 virtuales: design-checkpoint y activation-checkpoint). No existe una capa de comandos separada: las skills de control se invocan con interfaz de comando, y la secuencia la calcula /revos:status contra el grafo. Los agentes ejecutan trabajo autónomo pesado o de verificación.</w:t>
      </w:r>
    </w:p>
    <w:p>
      <w:pPr>
        <w:pStyle w:val="Heading2"/>
        <w:spacing w:after="120" w:before="280"/>
      </w:pPr>
      <w:r>
        <w:rPr>
          <w:rFonts w:ascii="Georgia" w:cs="Georgia" w:eastAsia="Georgia" w:hAnsi="Georgia"/>
          <w:b/>
          <w:bCs/>
          <w:color w:val="1C1B1A"/>
          <w:sz w:val="27"/>
          <w:szCs w:val="27"/>
        </w:rPr>
        <w:t xml:space="preserve">Skills de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Skill</w:t>
            </w:r>
          </w:p>
        </w:tc>
        <w:tc>
          <w:tcPr>
            <w:tcW w:type="dxa" w:w="68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Función</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/revos:setup</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Onboarding del consultor y corrección de rumbo cuando el sistema se usa de forma incorrecta.</w:t>
            </w:r>
          </w:p>
        </w:tc>
      </w:tr>
      <w:tr>
        <w:trPr>
          <w:cantSplit/>
        </w:trPr>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/revos:fase-0</w:t>
            </w:r>
          </w:p>
        </w:tc>
        <w:tc>
          <w:tcPr>
            <w:tcW w:type="dxa" w:w="68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Arranque de proyecto: carpetas, configuración (tier, output, conectores), Registro, Estado y Backlog de cambios.</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/revos:status</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Estado del proyecto y next best action contra el grafo. Punto de entrada de cada sesión.</w:t>
            </w:r>
          </w:p>
        </w:tc>
      </w:tr>
      <w:tr>
        <w:trPr>
          <w:cantSplit/>
        </w:trPr>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/revos:cambio</w:t>
            </w:r>
          </w:p>
        </w:tc>
        <w:tc>
          <w:tcPr>
            <w:tcW w:type="dxa" w:w="68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Puerta de entrada única de correcciones: clasifica (Cosmético/Dato/Concepto), versiona, archiva y evalúa propagación.</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/revos:entrega</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Produce el fichero final maquetado (HTML u Office) desde el Markdown validado, con el sistema visual RevOS.</w:t>
            </w:r>
          </w:p>
        </w:tc>
      </w:tr>
      <w:tr>
        <w:trPr>
          <w:cantSplit/>
        </w:trPr>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/revos:system-qa</w:t>
            </w:r>
          </w:p>
        </w:tc>
        <w:tc>
          <w:tcPr>
            <w:tcW w:type="dxa" w:w="68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Coherencia transversal de todos los outputs. Obligatoria al cierre de cada fase. Veredicto APTO / APTO CON RESERVAS / NO APTO.</w:t>
            </w:r>
          </w:p>
        </w:tc>
      </w:tr>
      <w:tr>
        <w:trPr>
          <w:cantSplit/>
        </w:trPr>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revos-orchestrator</w:t>
            </w:r>
          </w:p>
        </w:tc>
        <w:tc>
          <w:tcPr>
            <w:tcW w:type="dxa" w:w="68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Cerebro del sistema: secuencia contra el grafo, propagación, régimen de revisiones, Registro y Estado. Lo invocan las demás skills de control.</w:t>
            </w:r>
          </w:p>
        </w:tc>
      </w:tr>
    </w:tbl>
    <w:p>
      <w:pPr>
        <w:pStyle w:val="Heading2"/>
        <w:spacing w:after="120" w:before="280"/>
      </w:pPr>
      <w:r>
        <w:rPr>
          <w:rFonts w:ascii="Georgia" w:cs="Georgia" w:eastAsia="Georgia" w:hAnsi="Georgia"/>
          <w:b/>
          <w:bCs/>
          <w:color w:val="1C1B1A"/>
          <w:sz w:val="27"/>
          <w:szCs w:val="27"/>
        </w:rPr>
        <w:t xml:space="preserve">Agentes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Agente</w:t>
            </w:r>
          </w:p>
        </w:tc>
        <w:tc>
          <w:tcPr>
            <w:tcW w:type="dxa" w:w="12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Modelo</w:t>
            </w:r>
          </w:p>
        </w:tc>
        <w:tc>
          <w:tcPr>
            <w:tcW w:type="dxa" w:w="54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Función</w:t>
            </w:r>
          </w:p>
        </w:tc>
      </w:tr>
      <w:tr>
        <w:trPr>
          <w:cantSplit/>
        </w:trPr>
        <w:tc>
          <w:tcPr>
            <w:tcW w:type="dxa" w:w="24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competitive-researcher</w:t>
            </w:r>
          </w:p>
        </w:tc>
        <w:tc>
          <w:tcPr>
            <w:tcW w:type="dxa" w:w="1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54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Research competitivo multi-fuente con citación obligatoria. Alimenta competitive-research.</w:t>
            </w:r>
          </w:p>
        </w:tc>
      </w:tr>
      <w:tr>
        <w:trPr>
          <w:cantSplit/>
        </w:trPr>
        <w:tc>
          <w:tcPr>
            <w:tcW w:type="dxa" w:w="24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crm-analyst</w:t>
            </w:r>
          </w:p>
        </w:tc>
        <w:tc>
          <w:tcPr>
            <w:tcW w:type="dxa" w:w="1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54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Extracción de CRM conectado en solo lectura, con procedencia [DATO CRM]. Alimenta intake, brief, diagnóstico y stack audit.</w:t>
            </w:r>
          </w:p>
        </w:tc>
      </w:tr>
      <w:tr>
        <w:trPr>
          <w:cantSplit/>
        </w:trPr>
        <w:tc>
          <w:tcPr>
            <w:tcW w:type="dxa" w:w="24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system-qa</w:t>
            </w:r>
          </w:p>
        </w:tc>
        <w:tc>
          <w:tcPr>
            <w:tcW w:type="dxa" w:w="1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54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Coherencia transversal en solo lectura. Severidad [CRÍTICO] / [MAYOR] / [MENOR]; veredicto APTO / APTO CON RESERVAS / NO APTO. Correcciones vía /revos:cambio.</w:t>
            </w:r>
          </w:p>
        </w:tc>
      </w:tr>
      <w:tr>
        <w:trPr>
          <w:cantSplit/>
        </w:trPr>
        <w:tc>
          <w:tcPr>
            <w:tcW w:type="dxa" w:w="24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deliverable-designer</w:t>
            </w:r>
          </w:p>
        </w:tc>
        <w:tc>
          <w:tcPr>
            <w:tcW w:type="dxa" w:w="1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54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Maquetación del fichero final con el sistema visual RevOS (HTML autocontenido u Office).</w:t>
            </w:r>
          </w:p>
        </w:tc>
      </w:tr>
    </w:tbl>
    <w:p>
      <w:pPr>
        <w:pStyle w:val="Heading2"/>
        <w:spacing w:after="120" w:before="280"/>
      </w:pPr>
      <w:r>
        <w:rPr>
          <w:rFonts w:ascii="Georgia" w:cs="Georgia" w:eastAsia="Georgia" w:hAnsi="Georgia"/>
          <w:b/>
          <w:bCs/>
          <w:color w:val="1C1B1A"/>
          <w:sz w:val="27"/>
          <w:szCs w:val="27"/>
        </w:rPr>
        <w:t xml:space="preserve">Fase 0 y estructura de proyecto</w:t>
      </w:r>
    </w:p>
    <w:p>
      <w:pPr>
        <w:spacing w:after="140" w:line="300"/>
      </w:pPr>
      <w:r>
        <w:rPr>
          <w:rFonts w:ascii="Arial" w:cs="Arial" w:eastAsia="Arial" w:hAnsi="Arial"/>
          <w:color w:val="1C1B1A"/>
          <w:sz w:val="21"/>
          <w:szCs w:val="21"/>
        </w:rPr>
        <w:t xml:space="preserve">Ningún proyecto produce entregables sin pasar por /revos:fase-0, que crea la estructura estándar y registra la configuración:</w:t>
      </w:r>
    </w:p>
    <w:p>
      <w:pPr>
        <w:pStyle w:val="ListParagraph"/>
        <w:numPr>
          <w:ilvl w:val="0"/>
          <w:numId w:val="2"/>
        </w:numPr>
        <w:spacing w:after="90" w:line="290"/>
      </w:pPr>
      <w:r>
        <w:rPr>
          <w:rFonts w:ascii="Arial" w:cs="Arial" w:eastAsia="Arial" w:hAnsi="Arial"/>
          <w:color w:val="1C1B1A"/>
          <w:sz w:val="21"/>
          <w:szCs w:val="21"/>
        </w:rPr>
        <w:t xml:space="preserve">00 Sistema — Registro (histórico inmutable), Estado (vistas regeneradas), Backlog de cambios.</w:t>
      </w:r>
    </w:p>
    <w:p>
      <w:pPr>
        <w:pStyle w:val="ListParagraph"/>
        <w:numPr>
          <w:ilvl w:val="0"/>
          <w:numId w:val="2"/>
        </w:numPr>
        <w:spacing w:after="90" w:line="290"/>
      </w:pPr>
      <w:r>
        <w:rPr>
          <w:rFonts w:ascii="Arial" w:cs="Arial" w:eastAsia="Arial" w:hAnsi="Arial"/>
          <w:color w:val="1C1B1A"/>
          <w:sz w:val="21"/>
          <w:szCs w:val="21"/>
        </w:rPr>
        <w:t xml:space="preserve">01 Entregables — contenido validado en Markdown y ficheros finales maquetados.</w:t>
      </w:r>
    </w:p>
    <w:p>
      <w:pPr>
        <w:pStyle w:val="ListParagraph"/>
        <w:numPr>
          <w:ilvl w:val="0"/>
          <w:numId w:val="2"/>
        </w:numPr>
        <w:spacing w:after="90" w:line="290"/>
      </w:pPr>
      <w:r>
        <w:rPr>
          <w:rFonts w:ascii="Arial" w:cs="Arial" w:eastAsia="Arial" w:hAnsi="Arial"/>
          <w:color w:val="1C1B1A"/>
          <w:sz w:val="21"/>
          <w:szCs w:val="21"/>
        </w:rPr>
        <w:t xml:space="preserve">02 Anexos — material del cliente, research bruto, transcripciones.</w:t>
      </w:r>
    </w:p>
    <w:p>
      <w:pPr>
        <w:pStyle w:val="ListParagraph"/>
        <w:numPr>
          <w:ilvl w:val="0"/>
          <w:numId w:val="2"/>
        </w:numPr>
        <w:spacing w:after="90" w:line="290"/>
      </w:pPr>
      <w:r>
        <w:rPr>
          <w:rFonts w:ascii="Arial" w:cs="Arial" w:eastAsia="Arial" w:hAnsi="Arial"/>
          <w:color w:val="1C1B1A"/>
          <w:sz w:val="21"/>
          <w:szCs w:val="21"/>
        </w:rPr>
        <w:t xml:space="preserve">03 QA — informes de system-qa.</w:t>
      </w:r>
    </w:p>
    <w:p>
      <w:pPr>
        <w:pStyle w:val="ListParagraph"/>
        <w:numPr>
          <w:ilvl w:val="0"/>
          <w:numId w:val="2"/>
        </w:numPr>
        <w:spacing w:after="90" w:line="290"/>
      </w:pPr>
      <w:r>
        <w:rPr>
          <w:rFonts w:ascii="Arial" w:cs="Arial" w:eastAsia="Arial" w:hAnsi="Arial"/>
          <w:color w:val="1C1B1A"/>
          <w:sz w:val="21"/>
          <w:szCs w:val="21"/>
        </w:rPr>
        <w:t xml:space="preserve">04 Archivo — versiones antiguas (las mueve /revos:cambio, nunca a mano).</w:t>
      </w:r>
    </w:p>
    <w:p>
      <w:pPr>
        <w:spacing w:after="140" w:line="300"/>
      </w:pPr>
      <w:r>
        <w:rPr>
          <w:rFonts w:ascii="Arial" w:cs="Arial" w:eastAsia="Arial" w:hAnsi="Arial"/>
          <w:color w:val="1C1B1A"/>
          <w:sz w:val="21"/>
          <w:szCs w:val="21"/>
        </w:rPr>
        <w:t xml:space="preserve">La memoria del proyecto son dos ficheros que mantiene el orquestador: el Registro (inmutable, solo adición: configuración, ejecución con dos contadores de ciclos, censo de asunciones, veredictos de QA) y el Estado (vistas de trabajo — huecos vivos, hallazgos con techo de 12, agenda del checkpoint, siguiente paso — que se regenera completo en cada cierre de skill, nunca se edita).</w:t>
      </w:r>
    </w:p>
    <w:p>
      <w:pPr>
        <w:pStyle w:val="Heading2"/>
        <w:spacing w:after="120" w:before="280"/>
      </w:pPr>
      <w:r>
        <w:rPr>
          <w:rFonts w:ascii="Georgia" w:cs="Georgia" w:eastAsia="Georgia" w:hAnsi="Georgia"/>
          <w:b/>
          <w:bCs/>
          <w:color w:val="1C1B1A"/>
          <w:sz w:val="27"/>
          <w:szCs w:val="27"/>
        </w:rPr>
        <w:t xml:space="preserve">Conectores</w:t>
      </w:r>
    </w:p>
    <w:p>
      <w:pPr>
        <w:spacing w:after="140" w:line="300"/>
      </w:pPr>
      <w:r>
        <w:rPr>
          <w:rFonts w:ascii="Arial" w:cs="Arial" w:eastAsia="Arial" w:hAnsi="Arial"/>
          <w:color w:val="1C1B1A"/>
          <w:sz w:val="21"/>
          <w:szCs w:val="21"/>
        </w:rPr>
        <w:t xml:space="preserve">Dos niveles. Nivel 1, declarados en el plugin y disponibles siempre: Ahrefs, Similarweb, Google Drive, Notion y Dropbox — investigación y acceso a materiales. Nivel 2, activables por proyecto y registrados en fase 0: CRM (HubSpot, Pipedrive, Zoho, Attio) en solo lectura vía el agente crm-analyst, transcripciones (Fireflies, Gong, Granola), datos de ads (Supermetrics) y SEO alternativo (Semrush). Requisito comercial del CRM: cláusula de acceso de lectura y confidencialidad en la propuesta. Todo dato externo lleva etiqueta de procedencia.</w:t>
      </w:r>
    </w:p>
    <w:p>
      <w:r>
        <w:br w:type="page"/>
      </w:r>
    </w:p>
    <w:p>
      <w:pPr>
        <w:spacing w:after="40" w:before="360"/>
      </w:pPr>
      <w:r>
        <w:rPr>
          <w:rFonts w:ascii="Arial" w:cs="Arial" w:eastAsia="Arial" w:hAnsi="Arial"/>
          <w:color w:val="C129A1"/>
          <w:sz w:val="19"/>
          <w:szCs w:val="19"/>
        </w:rPr>
        <w:t xml:space="preserve">— Sección 4</w:t>
      </w:r>
    </w:p>
    <w:p>
      <w:pPr>
        <w:pStyle w:val="Heading1"/>
        <w:spacing w:after="160"/>
      </w:pPr>
      <w:r>
        <w:rPr>
          <w:rFonts w:ascii="Georgia" w:cs="Georgia" w:eastAsia="Georgia" w:hAnsi="Georgia"/>
          <w:b/>
          <w:bCs/>
          <w:color w:val="1C1B1A"/>
          <w:sz w:val="40"/>
          <w:szCs w:val="40"/>
        </w:rPr>
        <w:t xml:space="preserve">Mapa de skills</w:t>
      </w:r>
    </w:p>
    <w:p>
      <w:pPr>
        <w:spacing w:after="140" w:line="300"/>
      </w:pPr>
      <w:r>
        <w:rPr>
          <w:rFonts w:ascii="Arial" w:cs="Arial" w:eastAsia="Arial" w:hAnsi="Arial"/>
          <w:color w:val="1C1B1A"/>
          <w:sz w:val="21"/>
          <w:szCs w:val="21"/>
        </w:rPr>
        <w:t xml:space="preserve">28 nodos: fase 0, 24 skills de producción, 3 checkpoints (materializados por una única skill parametrizada por fase) y system-qa transversal. Cada skill tiene propósito único, inputs definidos, output exacto y modelo asignado. Detalle completo con dependencias y agentes: RevOS - Blueprint v6.xlsx.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350"/>
        <w:gridCol w:w="1000"/>
        <w:gridCol w:w="3276"/>
      </w:tblGrid>
      <w:tr>
        <w:trPr>
          <w:tblHeader/>
        </w:trPr>
        <w:tc>
          <w:tcPr>
            <w:tcW w:type="dxa" w:w="11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Fase</w:t>
            </w:r>
          </w:p>
        </w:tc>
        <w:tc>
          <w:tcPr>
            <w:tcW w:type="dxa" w:w="23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Nodo</w:t>
            </w:r>
          </w:p>
        </w:tc>
        <w:tc>
          <w:tcPr>
            <w:tcW w:type="dxa" w:w="135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Tier</w:t>
            </w:r>
          </w:p>
        </w:tc>
        <w:tc>
          <w:tcPr>
            <w:tcW w:type="dxa" w:w="10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Modelo</w:t>
            </w:r>
          </w:p>
        </w:tc>
        <w:tc>
          <w:tcPr>
            <w:tcW w:type="dxa" w:w="327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Propósito</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Fase 0</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fase-0</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Todos</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Arranque obligatorio de todo proyecto RevOS.</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client-intake-form</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Capturar la información inicial del cliente mediante formulario estructurado o entrevista guiada, antes de cualquier procesamiento.</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brief-intake</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Convertir información inicial del cliente (formulario de intake completado, notas de la reunión exploratoria, web del cliente, decks o materiales aportados) en un Client Master Brief estructurado.</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knowledge-base-builder</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Enriquecer y estructurar la base de conocimiento comercial, estratégica y operativa del cliente, partiendo del Client Master Brief y de materiales adicionales (decks, propuestas, informes, web, casos de cliente, entrevistas internas, notas).</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competitive-research</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Generar inteligencia competitiva y de categoría para el cliente: análisis de competidores directos e indirectos, dinámicas de categoría, posicionamientos del mercado, gaps detectados.</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revenue-diagnostic</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Producir el diagnóstico de revenue end-to-end del cliente: identificar cuellos de botella en la cadena desde generación de demanda hasta cierre, priorizar problemas por impacto y esfuerzo, y articular la tesis central del diagnóstico.</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diagnostic-checkpoint</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Producir el material de checkpoint con el cliente para validar una fase completa del sistema (Diagnostic, Design Essentials, Design Complete o Activation) antes de continuar.</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positioning-messaging</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Construir la arquitectura estratégica de posicionamiento y mensajes del cliente: categoría narrativa, promesa central, pilares de mensaje, value propositions por segmento, mensajes por etapa del funnel.</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growth-system-design</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Diseñar el sistema de generación de demanda full funnel del cliente: motores de demanda, tácticas por etapa del funnel, secuencia de activación, modelo de funcionamiento.</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sales-conversion-design</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Diseñar el sistema de conversión entre marketing y comercial: handoff, SLAs, cualificación, routing, seguimiento, roles y responsabilidades.</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channel-strategy-design</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Recomendar el mix de canales adecuado para el cliente dentro del tier Complete: qué canales activar, con qué peso, con qué función en el funnel, con qué inversión orientativa.</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content-discoverability-design</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Diseñar la arquitectura de contenidos y descubribilidad del cliente: qué contenidos producir, para qué etapa del funnel, para qué búsqueda/intención, con qué optimización SEO tradicional y qué lógica de GEO (generative engine optimization) para ser recuperado por LLMs.</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sales-process-design</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Diseñar el proceso comercial operativo del cliente: etapas del pipeline, criterios de avance entre etapas, definiciones MQL/SAL/SQL, playbook comercial básico, reglas de forecasting, cadencia comercial y gestión de pipeline.</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measurement-framework</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Definir la arquitectura de medición del cliente: qué métricas se miden, con qué fuente, con qué frecuencia, quién las mira y qué decisión desbloquean.</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execution-roadmap-builder</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Essentials/Complete</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Priorizar y convertir todo el sistema diseñado (posicionamiento, growth, sales conversion y si aplica los Complete) en un roadmap ejecutable: iniciativas priorizadas, secuencia trimestral, dependencias, responsables, hitos.</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design-checkpoint</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 / Complete</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Checkpoint de validación con el cliente al cierre de Design (nodo virtual: lo materializa diagnostic-checkpoint parametrizado por fase).</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Design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brand-copy-system</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Sistematizar el copy del cliente para ser consistente con el positioning a través de todos los canales: tono de voz, estructura de mensajes por etapa/canal, frases aprobadas y prohibidas, guía de titulares/CTAs.</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martech-stack-audit</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Auditar el stack tecnológico actual del cliente (CRM, MAP, analítica, herramientas de ventas, contenido, etc.): qué tiene, cómo lo usa, qué solapa, qué falta, qué brechas bloquean el sistema diseñado.</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crm-selection</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Recomendar el CRM más apropiado cuando el cliente no tiene CRM o tiene uno inadecuado, según los requisitos reales derivados del sistema diseñado — no por preferencia del consultor.</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crm-blueprint-builder</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Producir la especificación completa del CRM del cliente: objetos, campos obligatorios, pipelines, etapas, automatizaciones, reglas de asignación, reportes estándar y permisos.</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martech-measurement</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Definir la arquitectura tecnológica objetivo para medición integrada: cómo se conectan CRM + MAP + analítica + herramientas de venta para alimentar el measurement framework de forma fiable, con atribución, con data hygiene y con reporting automatizado.</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media-plan-builder</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Producir un plan de medios táctico a partir de la estrategia de canales: inversión por canal por mes, formatos, audiencias, creatividades esperadas, KPIs y cadencias de optimización.</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content-calendar-builder</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Producir el calendario editorial operativo del cliente: qué contenido, en qué fecha, por quién, en qué canal, con qué formato, con qué CTA, derivado del plan de arquitectura de contenidos.</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conversion-playbook-builder</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Producir el playbook táctico de conversión del equipo comercial: guiones de llamada, estructuras de reunión, objeciones frecuentes y respuestas, plantillas de email, checklist por etapa del pipeline, plantillas de propuesta.</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reporting-operating-system</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Diseñar la cadencia operativa de reporting y revisión del cliente: qué reportes se producen, para quién, con qué frecuencia, con qué formato, qué reunión los revisa y qué decisión desbloquea cada uno.</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exec-deliverables</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Consolidar todo el trabajo realizado en el sistema RevOS en los entregables ejecutivos finales: Executive Summary, Board Deck y Handover Document.</w:t>
            </w:r>
          </w:p>
        </w:tc>
      </w:tr>
      <w:tr>
        <w:trPr>
          <w:cantSplit/>
        </w:trPr>
        <w:tc>
          <w:tcPr>
            <w:tcW w:type="dxa" w:w="11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23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activation-checkpoint</w:t>
            </w:r>
          </w:p>
        </w:tc>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Complete</w:t>
            </w:r>
          </w:p>
        </w:tc>
        <w:tc>
          <w:tcPr>
            <w:tcW w:type="dxa" w:w="1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Sonnet</w:t>
            </w:r>
          </w:p>
        </w:tc>
        <w:tc>
          <w:tcPr>
            <w:tcW w:type="dxa" w:w="327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Checkpoint ejecutivo final con dirección, sobre los outputs de exec-deliverables (nodo virtual: lo materializa diagnostic-checkpoint). Tras su validación, entrega final y cierre.</w:t>
            </w:r>
          </w:p>
        </w:tc>
      </w:tr>
      <w:tr>
        <w:trPr>
          <w:cantSplit/>
        </w:trPr>
        <w:tc>
          <w:tcPr>
            <w:tcW w:type="dxa" w:w="11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Transversal</w:t>
            </w:r>
          </w:p>
        </w:tc>
        <w:tc>
          <w:tcPr>
            <w:tcW w:type="dxa" w:w="23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system-qa</w:t>
            </w:r>
          </w:p>
        </w:tc>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Todos</w:t>
            </w:r>
          </w:p>
        </w:tc>
        <w:tc>
          <w:tcPr>
            <w:tcW w:type="dxa" w:w="1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Opus</w:t>
            </w:r>
          </w:p>
        </w:tc>
        <w:tc>
          <w:tcPr>
            <w:tcW w:type="dxa" w:w="327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Verificar la coherencia transversal entre todos los outputs del sistema RevOS producidos hasta ese momento.</w:t>
            </w:r>
          </w:p>
        </w:tc>
      </w:tr>
    </w:tbl>
    <w:p>
      <w:r>
        <w:br w:type="page"/>
      </w:r>
    </w:p>
    <w:p>
      <w:pPr>
        <w:spacing w:after="40" w:before="360"/>
      </w:pPr>
      <w:r>
        <w:rPr>
          <w:rFonts w:ascii="Arial" w:cs="Arial" w:eastAsia="Arial" w:hAnsi="Arial"/>
          <w:color w:val="C129A1"/>
          <w:sz w:val="19"/>
          <w:szCs w:val="19"/>
        </w:rPr>
        <w:t xml:space="preserve">— Sección 5</w:t>
      </w:r>
    </w:p>
    <w:p>
      <w:pPr>
        <w:pStyle w:val="Heading1"/>
        <w:spacing w:after="160"/>
      </w:pPr>
      <w:r>
        <w:rPr>
          <w:rFonts w:ascii="Georgia" w:cs="Georgia" w:eastAsia="Georgia" w:hAnsi="Georgia"/>
          <w:b/>
          <w:bCs/>
          <w:color w:val="1C1B1A"/>
          <w:sz w:val="40"/>
          <w:szCs w:val="40"/>
        </w:rPr>
        <w:t xml:space="preserve">Flujo cronológico</w:t>
      </w:r>
    </w:p>
    <w:p>
      <w:pPr>
        <w:spacing w:after="140" w:line="300"/>
      </w:pPr>
      <w:r>
        <w:rPr>
          <w:rFonts w:ascii="Arial" w:cs="Arial" w:eastAsia="Arial" w:hAnsi="Arial"/>
          <w:color w:val="1C1B1A"/>
          <w:sz w:val="21"/>
          <w:szCs w:val="21"/>
        </w:rPr>
        <w:t xml:space="preserve">Dos dimensiones: la comercial (Essentials / Complete / opcionales) y la operativa (fases cronológicas y dependientes). Cada fase termina con system-qa y checkpoint de cliente; la secuencia concreta la calcula /revos:status contra el grafo.</w:t>
      </w:r>
    </w:p>
    <w:p>
      <w:pPr>
        <w:pStyle w:val="ListParagraph"/>
        <w:numPr>
          <w:ilvl w:val="0"/>
          <w:numId w:val="2"/>
        </w:numPr>
        <w:spacing w:after="90" w:line="290"/>
      </w:pPr>
      <w:r>
        <w:rPr>
          <w:rFonts w:ascii="Arial" w:cs="Arial" w:eastAsia="Arial" w:hAnsi="Arial"/>
          <w:color w:val="1C1B1A"/>
          <w:sz w:val="21"/>
          <w:szCs w:val="21"/>
        </w:rPr>
        <w:t xml:space="preserve">Fase 0 — Arranque: /revos:fase-0.</w:t>
      </w:r>
    </w:p>
    <w:p>
      <w:pPr>
        <w:pStyle w:val="ListParagraph"/>
        <w:numPr>
          <w:ilvl w:val="0"/>
          <w:numId w:val="2"/>
        </w:numPr>
        <w:spacing w:after="90" w:line="290"/>
      </w:pPr>
      <w:r>
        <w:rPr>
          <w:rFonts w:ascii="Arial" w:cs="Arial" w:eastAsia="Arial" w:hAnsi="Arial"/>
          <w:color w:val="1C1B1A"/>
          <w:sz w:val="21"/>
          <w:szCs w:val="21"/>
        </w:rPr>
        <w:t xml:space="preserve">Fase 1 — Diagnostic: client-intake-form → brief-intake → knowledge-base-builder → competitive-research → revenue-diagnostic → system-qa → diagnostic-checkpoint.</w:t>
      </w:r>
    </w:p>
    <w:p>
      <w:pPr>
        <w:pStyle w:val="ListParagraph"/>
        <w:numPr>
          <w:ilvl w:val="0"/>
          <w:numId w:val="2"/>
        </w:numPr>
        <w:spacing w:after="90" w:line="290"/>
      </w:pPr>
      <w:r>
        <w:rPr>
          <w:rFonts w:ascii="Arial" w:cs="Arial" w:eastAsia="Arial" w:hAnsi="Arial"/>
          <w:color w:val="1C1B1A"/>
          <w:sz w:val="21"/>
          <w:szCs w:val="21"/>
        </w:rPr>
        <w:t xml:space="preserve">Fase 2 — Design (Essentials): positioning-messaging → growth-system-design → sales-conversion-design → execution-roadmap-builder → system-qa → design-checkpoint. Complete añade channel-strategy, content-discoverability, sales-process y measurement-framework antes del roadmap.</w:t>
      </w:r>
    </w:p>
    <w:p>
      <w:pPr>
        <w:pStyle w:val="ListParagraph"/>
        <w:numPr>
          <w:ilvl w:val="0"/>
          <w:numId w:val="2"/>
        </w:numPr>
        <w:spacing w:after="90" w:line="290"/>
      </w:pPr>
      <w:r>
        <w:rPr>
          <w:rFonts w:ascii="Arial" w:cs="Arial" w:eastAsia="Arial" w:hAnsi="Arial"/>
          <w:color w:val="1C1B1A"/>
          <w:sz w:val="21"/>
          <w:szCs w:val="21"/>
        </w:rPr>
        <w:t xml:space="preserve">Fase 3 — Activation (Complete): martech-stack-audit → crm-blueprint-builder → martech-measurement → opcionales contratados → system-qa → exec-deliverables → activation-checkpoint (checkpoint ejecutivo final). El proyecto se cierra tras la validación del cliente y la entrega final vía /revos:entrega.</w:t>
      </w:r>
    </w:p>
    <w:p>
      <w:pPr>
        <w:pStyle w:val="ListParagraph"/>
        <w:numPr>
          <w:ilvl w:val="0"/>
          <w:numId w:val="2"/>
        </w:numPr>
        <w:spacing w:after="90" w:line="290"/>
      </w:pPr>
      <w:r>
        <w:rPr>
          <w:rFonts w:ascii="Arial" w:cs="Arial" w:eastAsia="Arial" w:hAnsi="Arial"/>
          <w:color w:val="1C1B1A"/>
          <w:sz w:val="21"/>
          <w:szCs w:val="21"/>
        </w:rPr>
        <w:t xml:space="preserve">Transversal: system-qa al cierre de cada fase y tras propagaciones en cascada; /revos:cambio como puerta única de correcciones; el orquestador decide el next best action en todo momento.</w:t>
      </w:r>
    </w:p>
    <w:p>
      <w:pPr>
        <w:spacing w:after="40" w:before="360"/>
      </w:pPr>
      <w:r>
        <w:rPr>
          <w:rFonts w:ascii="Arial" w:cs="Arial" w:eastAsia="Arial" w:hAnsi="Arial"/>
          <w:color w:val="C129A1"/>
          <w:sz w:val="19"/>
          <w:szCs w:val="19"/>
        </w:rPr>
        <w:t xml:space="preserve">— Sección 6</w:t>
      </w:r>
    </w:p>
    <w:p>
      <w:pPr>
        <w:pStyle w:val="Heading1"/>
        <w:spacing w:after="160"/>
      </w:pPr>
      <w:r>
        <w:rPr>
          <w:rFonts w:ascii="Georgia" w:cs="Georgia" w:eastAsia="Georgia" w:hAnsi="Georgia"/>
          <w:b/>
          <w:bCs/>
          <w:color w:val="1C1B1A"/>
          <w:sz w:val="40"/>
          <w:szCs w:val="40"/>
        </w:rPr>
        <w:t xml:space="preserve">Convenciones transversales</w:t>
      </w:r>
    </w:p>
    <w:p>
      <w:pPr>
        <w:pStyle w:val="Heading2"/>
        <w:spacing w:after="120" w:before="280"/>
      </w:pPr>
      <w:r>
        <w:rPr>
          <w:rFonts w:ascii="Georgia" w:cs="Georgia" w:eastAsia="Georgia" w:hAnsi="Georgia"/>
          <w:b/>
          <w:bCs/>
          <w:color w:val="1C1B1A"/>
          <w:sz w:val="27"/>
          <w:szCs w:val="27"/>
        </w:rPr>
        <w:t xml:space="preserve">Terminología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Usar</w:t>
            </w:r>
          </w:p>
        </w:tc>
        <w:tc>
          <w:tcPr>
            <w:tcW w:type="dxa" w:w="4513"/>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Nunca usar</w:t>
            </w:r>
          </w:p>
        </w:tc>
      </w:tr>
      <w:tr>
        <w:trPr>
          <w:cantSplit/>
        </w:trPr>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checkpoint, hito de validación</w:t>
            </w:r>
          </w:p>
        </w:tc>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Gate, peaje</w:t>
            </w:r>
          </w:p>
        </w:tc>
      </w:tr>
      <w:tr>
        <w:trPr>
          <w:cantSplit/>
        </w:trPr>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cuellos de botella, problemas, fricciones</w:t>
            </w:r>
          </w:p>
        </w:tc>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“cuello/cuellos” a secas</w:t>
            </w:r>
          </w:p>
        </w:tc>
      </w:tr>
      <w:tr>
        <w:trPr>
          <w:cantSplit/>
        </w:trPr>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empresas B2B (sin calificativo)</w:t>
            </w:r>
          </w:p>
        </w:tc>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pyme, PYME, industrial, mediana/grande como scope</w:t>
            </w:r>
          </w:p>
        </w:tc>
      </w:tr>
      <w:tr>
        <w:trPr>
          <w:cantSplit/>
        </w:trPr>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Essentials / Complete</w:t>
            </w:r>
          </w:p>
        </w:tc>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Core v1 / Core v2</w:t>
            </w:r>
          </w:p>
        </w:tc>
      </w:tr>
      <w:tr>
        <w:trPr>
          <w:cantSplit/>
        </w:trPr>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Activation</w:t>
            </w:r>
          </w:p>
        </w:tc>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Deployment</w:t>
            </w:r>
          </w:p>
        </w:tc>
      </w:tr>
    </w:tbl>
    <w:p>
      <w:pPr>
        <w:spacing w:after="140" w:line="300"/>
      </w:pPr>
      <w:r>
        <w:rPr>
          <w:rFonts w:ascii="Arial" w:cs="Arial" w:eastAsia="Arial" w:hAnsi="Arial"/>
          <w:color w:val="1C1B1A"/>
          <w:sz w:val="21"/>
          <w:szCs w:val="21"/>
        </w:rPr>
        <w:t xml:space="preserve">Lenguaje de negocio, no de agencia. Castellano, registro ejecutivo directo. El cliente como protagonista.</w:t>
      </w:r>
    </w:p>
    <w:p>
      <w:pPr>
        <w:pStyle w:val="Heading2"/>
        <w:spacing w:after="120" w:before="280"/>
      </w:pPr>
      <w:r>
        <w:rPr>
          <w:rFonts w:ascii="Georgia" w:cs="Georgia" w:eastAsia="Georgia" w:hAnsi="Georgia"/>
          <w:b/>
          <w:bCs/>
          <w:color w:val="1C1B1A"/>
          <w:sz w:val="27"/>
          <w:szCs w:val="27"/>
        </w:rPr>
        <w:t xml:space="preserve">Naming de ficheros y registro de artefactos</w:t>
      </w:r>
    </w:p>
    <w:p>
      <w:pPr>
        <w:spacing w:after="140" w:line="300"/>
      </w:pPr>
      <w:r>
        <w:rPr>
          <w:rFonts w:ascii="Arial" w:cs="Arial" w:eastAsia="Arial" w:hAnsi="Arial"/>
          <w:color w:val="1C1B1A"/>
          <w:sz w:val="21"/>
          <w:szCs w:val="21"/>
        </w:rPr>
        <w:t xml:space="preserve">[Cliente] - [Entregable] v[N].[ext] — espacios y guion medio. Prohibidos los guiones bajos en cualquier fichero del proyecto. Cada artefacto tiene un único nombre canónico —el nombre de producción— que se usa en el Produce de la skill, en el fichero, en los Requiere de las skills consumidoras y en el Registro. El registro completo de artefactos (A01–A24) vive en las convenciones del plugin; ninguna variante abreviada es conforme.</w:t>
      </w:r>
    </w:p>
    <w:p>
      <w:pPr>
        <w:pStyle w:val="Heading2"/>
        <w:spacing w:after="120" w:before="280"/>
      </w:pPr>
      <w:r>
        <w:rPr>
          <w:rFonts w:ascii="Georgia" w:cs="Georgia" w:eastAsia="Georgia" w:hAnsi="Georgia"/>
          <w:b/>
          <w:bCs/>
          <w:color w:val="1C1B1A"/>
          <w:sz w:val="27"/>
          <w:szCs w:val="27"/>
        </w:rPr>
        <w:t xml:space="preserve">Etiquetado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Etiqueta</w:t>
            </w:r>
          </w:p>
        </w:tc>
        <w:tc>
          <w:tcPr>
            <w:tcW w:type="dxa" w:w="61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Uso</w:t>
            </w:r>
          </w:p>
        </w:tc>
      </w:tr>
      <w:tr>
        <w:trPr>
          <w:cantSplit/>
        </w:trPr>
        <w:tc>
          <w:tcPr>
            <w:tcW w:type="dxa" w:w="29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[FALTA DATO: descripción]</w:t>
            </w:r>
          </w:p>
        </w:tc>
        <w:tc>
          <w:tcPr>
            <w:tcW w:type="dxa" w:w="61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Información insuficiente. Se clasifica siempre: bloqueante o no bloqueante. Transitoria — máximo 2 ciclos.</w:t>
            </w:r>
          </w:p>
        </w:tc>
      </w:tr>
      <w:tr>
        <w:trPr>
          <w:cantSplit/>
        </w:trPr>
        <w:tc>
          <w:tcPr>
            <w:tcW w:type="dxa" w:w="29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[ASUNCIÓN: valor + criterio]</w:t>
            </w:r>
          </w:p>
        </w:tc>
        <w:tc>
          <w:tcPr>
            <w:tcW w:type="dxa" w:w="61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Sustituye al [FALTA DATO] no bloqueante. Se escribe en primera pasada si la fuente no estará disponible antes del checkpoint, o al agotar el presupuesto de revisiones. Se valida en checkpoint.</w:t>
            </w:r>
          </w:p>
        </w:tc>
      </w:tr>
      <w:tr>
        <w:trPr>
          <w:cantSplit/>
        </w:trPr>
        <w:tc>
          <w:tcPr>
            <w:tcW w:type="dxa" w:w="29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[HIPÓTESIS]</w:t>
            </w:r>
          </w:p>
        </w:tc>
        <w:tc>
          <w:tcPr>
            <w:tcW w:type="dxa" w:w="61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Inferencia estratégica sin respaldo explícito. Validar con cliente.</w:t>
            </w:r>
          </w:p>
        </w:tc>
      </w:tr>
      <w:tr>
        <w:trPr>
          <w:cantSplit/>
        </w:trPr>
        <w:tc>
          <w:tcPr>
            <w:tcW w:type="dxa" w:w="29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[CONTRADICCIÓN DETECTADA]</w:t>
            </w:r>
          </w:p>
        </w:tc>
        <w:tc>
          <w:tcPr>
            <w:tcW w:type="dxa" w:w="61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Conflicto entre fuentes o secciones. Resolver antes de continuar.</w:t>
            </w:r>
          </w:p>
        </w:tc>
      </w:tr>
      <w:tr>
        <w:trPr>
          <w:cantSplit/>
        </w:trPr>
        <w:tc>
          <w:tcPr>
            <w:tcW w:type="dxa" w:w="29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[DATO CRM: fuente, fecha]</w:t>
            </w:r>
          </w:p>
        </w:tc>
        <w:tc>
          <w:tcPr>
            <w:tcW w:type="dxa" w:w="61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Procedencia de dato extraído de CRM conectado.</w:t>
            </w:r>
          </w:p>
        </w:tc>
      </w:tr>
      <w:tr>
        <w:trPr>
          <w:cantSplit/>
        </w:trPr>
        <w:tc>
          <w:tcPr>
            <w:tcW w:type="dxa" w:w="29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[DATO NO FIABLE]</w:t>
            </w:r>
          </w:p>
        </w:tc>
        <w:tc>
          <w:tcPr>
            <w:tcW w:type="dxa" w:w="61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Dato de CRM inconsistente. Se trata como [FALTA DATO].</w:t>
            </w:r>
          </w:p>
        </w:tc>
      </w:tr>
    </w:tbl>
    <w:p>
      <w:pPr>
        <w:pStyle w:val="Heading2"/>
        <w:spacing w:after="120" w:before="280"/>
      </w:pPr>
      <w:r>
        <w:rPr>
          <w:rFonts w:ascii="Georgia" w:cs="Georgia" w:eastAsia="Georgia" w:hAnsi="Georgia"/>
          <w:b/>
          <w:bCs/>
          <w:color w:val="1C1B1A"/>
          <w:sz w:val="27"/>
          <w:szCs w:val="27"/>
        </w:rPr>
        <w:t xml:space="preserve">Doctrina de avance (v4.3)</w:t>
      </w:r>
    </w:p>
    <w:p>
      <w:pPr>
        <w:spacing w:after="140" w:line="300"/>
      </w:pPr>
      <w:r>
        <w:rPr>
          <w:rFonts w:ascii="Arial" w:cs="Arial" w:eastAsia="Arial" w:hAnsi="Arial"/>
          <w:color w:val="1C1B1A"/>
          <w:sz w:val="21"/>
          <w:szCs w:val="21"/>
        </w:rPr>
        <w:t xml:space="preserve">Un [FALTA DATO] es no bloqueante por defecto. Solo bloquea si cumple un criterio de la definición cerrada: puede invertir la tesis, obliga a una decisión irreversible ante el cliente, o hace materialmente imposible producir. La carga de la prueba recae en quien pretende bloquear. Un v1 con asunciones falsables declaradas es un entregable válido. Máximo 3 preguntas abiertas al consultor por entregable, escaladas agrupadas al cierre del paso — nunca una a una en mitad de la producción.</w:t>
      </w:r>
    </w:p>
    <w:p>
      <w:pPr>
        <w:pStyle w:val="Heading2"/>
        <w:spacing w:after="120" w:before="280"/>
      </w:pPr>
      <w:r>
        <w:rPr>
          <w:rFonts w:ascii="Georgia" w:cs="Georgia" w:eastAsia="Georgia" w:hAnsi="Georgia"/>
          <w:b/>
          <w:bCs/>
          <w:color w:val="1C1B1A"/>
          <w:sz w:val="27"/>
          <w:szCs w:val="27"/>
        </w:rPr>
        <w:t xml:space="preserve">Lenguaje calibrado (v4.3)</w:t>
      </w:r>
    </w:p>
    <w:p>
      <w:pPr>
        <w:spacing w:after="140" w:line="300"/>
      </w:pPr>
      <w:r>
        <w:rPr>
          <w:rFonts w:ascii="Arial" w:cs="Arial" w:eastAsia="Arial" w:hAnsi="Arial"/>
          <w:color w:val="1C1B1A"/>
          <w:sz w:val="21"/>
          <w:szCs w:val="21"/>
        </w:rPr>
        <w:t xml:space="preserve">La asertividad es del entregable, no de la conversación. Las conclusiones mayores declaran su confianza — alta: dato medido o de CRM · media: declarado por el cliente · baja: inferencia. Las consecuencias se formulan condicionadas, nunca proféticas. El contraste retórico (“No es X. Es Y.”) solo es admisible con evidencia de ambos lados en el documento.</w:t>
      </w:r>
    </w:p>
    <w:p>
      <w:pPr>
        <w:pStyle w:val="Heading2"/>
        <w:spacing w:after="120" w:before="280"/>
      </w:pPr>
      <w:r>
        <w:rPr>
          <w:rFonts w:ascii="Georgia" w:cs="Georgia" w:eastAsia="Georgia" w:hAnsi="Georgia"/>
          <w:b/>
          <w:bCs/>
          <w:color w:val="1C1B1A"/>
          <w:sz w:val="27"/>
          <w:szCs w:val="27"/>
        </w:rPr>
        <w:t xml:space="preserve">Régimen de revisiones</w:t>
      </w:r>
    </w:p>
    <w:p>
      <w:pPr>
        <w:spacing w:after="140" w:line="300"/>
      </w:pPr>
      <w:r>
        <w:rPr>
          <w:rFonts w:ascii="Arial" w:cs="Arial" w:eastAsia="Arial" w:hAnsi="Arial"/>
          <w:color w:val="1C1B1A"/>
          <w:sz w:val="21"/>
          <w:szCs w:val="21"/>
        </w:rPr>
        <w:t xml:space="preserve">Dos contadores por entregable: máximo 2 ciclos de revisión de calidad (cambios nacidos del juicio sobre lo escrito) e incorporaciones de información ilimitadas (aportar datos nunca se penaliza). Agotado el presupuesto de calidad, los [FALTA DATO] no bloqueantes se convierten en [ASUNCIÓN] con criterio falsable y el sistema avanza. Los resúmenes enumeran, no cuentan: prohibidos los recuentos totales. Al cierre de cada skill, todo hueco heredado sale con disposición: resuelto, reasignado o declinado con motivo. Los checkpoints incluyen sección fija “Asunciones vigentes”.</w:t>
      </w:r>
    </w:p>
    <w:p>
      <w:pPr>
        <w:pStyle w:val="Heading2"/>
        <w:spacing w:after="120" w:before="280"/>
      </w:pPr>
      <w:r>
        <w:rPr>
          <w:rFonts w:ascii="Georgia" w:cs="Georgia" w:eastAsia="Georgia" w:hAnsi="Georgia"/>
          <w:b/>
          <w:bCs/>
          <w:color w:val="1C1B1A"/>
          <w:sz w:val="27"/>
          <w:szCs w:val="27"/>
        </w:rPr>
        <w:t xml:space="preserve">Versionado y gestión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900"/>
        <w:gridCol w:w="1200"/>
        <w:gridCol w:w="1250"/>
        <w:gridCol w:w="2326"/>
      </w:tblGrid>
      <w:tr>
        <w:trPr>
          <w:tblHeader/>
        </w:trPr>
        <w:tc>
          <w:tcPr>
            <w:tcW w:type="dxa" w:w="135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Tipo</w:t>
            </w:r>
          </w:p>
        </w:tc>
        <w:tc>
          <w:tcPr>
            <w:tcW w:type="dxa" w:w="29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Definición</w:t>
            </w:r>
          </w:p>
        </w:tc>
        <w:tc>
          <w:tcPr>
            <w:tcW w:type="dxa" w:w="12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Acción</w:t>
            </w:r>
          </w:p>
        </w:tc>
        <w:tc>
          <w:tcPr>
            <w:tcW w:type="dxa" w:w="125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Versión</w:t>
            </w:r>
          </w:p>
        </w:tc>
        <w:tc>
          <w:tcPr>
            <w:tcW w:type="dxa" w:w="23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Backlog</w:t>
            </w:r>
          </w:p>
        </w:tc>
      </w:tr>
      <w:tr>
        <w:trPr>
          <w:cantSplit/>
        </w:trPr>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Cosmético</w:t>
            </w:r>
          </w:p>
        </w:tc>
        <w:tc>
          <w:tcPr>
            <w:tcW w:type="dxa" w:w="29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Nada depende de ello</w:t>
            </w:r>
          </w:p>
        </w:tc>
        <w:tc>
          <w:tcPr>
            <w:tcW w:type="dxa" w:w="1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Editar</w:t>
            </w:r>
          </w:p>
        </w:tc>
        <w:tc>
          <w:tcPr>
            <w:tcW w:type="dxa" w:w="12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Sin cambio</w:t>
            </w:r>
          </w:p>
        </w:tc>
        <w:tc>
          <w:tcPr>
            <w:tcW w:type="dxa" w:w="23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Opcional</w:t>
            </w:r>
          </w:p>
        </w:tc>
      </w:tr>
      <w:tr>
        <w:trPr>
          <w:cantSplit/>
        </w:trPr>
        <w:tc>
          <w:tcPr>
            <w:tcW w:type="dxa" w:w="13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Dato</w:t>
            </w:r>
          </w:p>
        </w:tc>
        <w:tc>
          <w:tcPr>
            <w:tcW w:type="dxa" w:w="29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Algo depende del valor, no del argumento</w:t>
            </w:r>
          </w:p>
        </w:tc>
        <w:tc>
          <w:tcPr>
            <w:tcW w:type="dxa" w:w="1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Editar</w:t>
            </w:r>
          </w:p>
        </w:tc>
        <w:tc>
          <w:tcPr>
            <w:tcW w:type="dxa" w:w="125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Sin cambio</w:t>
            </w:r>
          </w:p>
        </w:tc>
        <w:tc>
          <w:tcPr>
            <w:tcW w:type="dxa" w:w="23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Obligatorio, con ficheros afectados y estado</w:t>
            </w:r>
          </w:p>
        </w:tc>
      </w:tr>
      <w:tr>
        <w:trPr>
          <w:cantSplit/>
        </w:trPr>
        <w:tc>
          <w:tcPr>
            <w:tcW w:type="dxa" w:w="13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Concepto</w:t>
            </w:r>
          </w:p>
        </w:tc>
        <w:tc>
          <w:tcPr>
            <w:tcW w:type="dxa" w:w="29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El argumento cambia</w:t>
            </w:r>
          </w:p>
        </w:tc>
        <w:tc>
          <w:tcPr>
            <w:tcW w:type="dxa" w:w="1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Reescribir</w:t>
            </w:r>
          </w:p>
        </w:tc>
        <w:tc>
          <w:tcPr>
            <w:tcW w:type="dxa" w:w="125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v1 → v2</w:t>
            </w:r>
          </w:p>
        </w:tc>
        <w:tc>
          <w:tcPr>
            <w:tcW w:type="dxa" w:w="23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Obligatorio</w:t>
            </w:r>
          </w:p>
        </w:tc>
      </w:tr>
    </w:tbl>
    <w:p>
      <w:pPr>
        <w:spacing w:after="140" w:line="300"/>
      </w:pPr>
      <w:r>
        <w:rPr>
          <w:rFonts w:ascii="Arial" w:cs="Arial" w:eastAsia="Arial" w:hAnsi="Arial"/>
          <w:color w:val="1C1B1A"/>
          <w:sz w:val="21"/>
          <w:szCs w:val="21"/>
        </w:rPr>
        <w:t xml:space="preserve">Todo cambio sobre un entregable producido entra por /revos:cambio. Los cambios de Dato se evalúan en lote — en el siguiente cierre de skill o antes del checkpoint, lo que llegue antes (v4.3). La propagación descendente la evalúa el orquestador contra el grafo y la aprueba el consultor — nunca es automática. Un cambio de Concepto archiva la versión anterior en 04 Archivo. Doble condición de checkpoint: backlog sin cambios abiertos y último system-qa de la fase con veredicto APTO.</w:t>
      </w:r>
    </w:p>
    <w:p>
      <w:pPr>
        <w:pStyle w:val="Heading2"/>
        <w:spacing w:after="120" w:before="280"/>
      </w:pPr>
      <w:r>
        <w:rPr>
          <w:rFonts w:ascii="Georgia" w:cs="Georgia" w:eastAsia="Georgia" w:hAnsi="Georgia"/>
          <w:b/>
          <w:bCs/>
          <w:color w:val="1C1B1A"/>
          <w:sz w:val="27"/>
          <w:szCs w:val="27"/>
        </w:rPr>
        <w:t xml:space="preserve">Enums canónicos de QA (v4.3.1)</w:t>
      </w:r>
    </w:p>
    <w:p>
      <w:pPr>
        <w:spacing w:after="140" w:line="300"/>
      </w:pPr>
      <w:r>
        <w:rPr>
          <w:rFonts w:ascii="Arial" w:cs="Arial" w:eastAsia="Arial" w:hAnsi="Arial"/>
          <w:color w:val="1C1B1A"/>
          <w:sz w:val="21"/>
          <w:szCs w:val="21"/>
        </w:rPr>
        <w:t xml:space="preserve">Severidad de hallazgo: [CRÍTICO] (impide continuar) · [MAYOR] (resolver antes de entregar al cliente) · [MENOR] (ajustar en próxima iteración). Veredicto de system-qa: APTO · APTO CON RESERVAS · NO APTO. Cualquier otro vocabulario es no conforme.</w:t>
      </w:r>
    </w:p>
    <w:p>
      <w:pPr>
        <w:pStyle w:val="Heading2"/>
        <w:spacing w:after="120" w:before="280"/>
      </w:pPr>
      <w:r>
        <w:rPr>
          <w:rFonts w:ascii="Georgia" w:cs="Georgia" w:eastAsia="Georgia" w:hAnsi="Georgia"/>
          <w:b/>
          <w:bCs/>
          <w:color w:val="1C1B1A"/>
          <w:sz w:val="27"/>
          <w:szCs w:val="27"/>
        </w:rPr>
        <w:t xml:space="preserve">Output y maquetación</w:t>
      </w:r>
    </w:p>
    <w:p>
      <w:pPr>
        <w:spacing w:after="140" w:line="300"/>
      </w:pPr>
      <w:r>
        <w:rPr>
          <w:rFonts w:ascii="Arial" w:cs="Arial" w:eastAsia="Arial" w:hAnsi="Arial"/>
          <w:color w:val="1C1B1A"/>
          <w:sz w:val="21"/>
          <w:szCs w:val="21"/>
        </w:rPr>
        <w:t xml:space="preserve">La preferencia de output se fija una vez por proyecto en fase 0: HTML (entregables autocontenidos e interactivos) u Office (DOCX/XLSX/PPTX según la naturaleza del entregable). Las skills producen contenido validado en Markdown; /revos:entrega genera el fichero final aplicando el sistema visual RevOS (fondo #F6F4F0, acento #C129A1, componentes de funnel, matriz y checkpoint). La maquetación nunca altera el contenido validado.</w:t>
      </w:r>
    </w:p>
    <w:p>
      <w:r>
        <w:br w:type="page"/>
      </w:r>
    </w:p>
    <w:p>
      <w:pPr>
        <w:spacing w:after="40" w:before="360"/>
      </w:pPr>
      <w:r>
        <w:rPr>
          <w:rFonts w:ascii="Arial" w:cs="Arial" w:eastAsia="Arial" w:hAnsi="Arial"/>
          <w:color w:val="C129A1"/>
          <w:sz w:val="19"/>
          <w:szCs w:val="19"/>
        </w:rPr>
        <w:t xml:space="preserve">— Sección 7</w:t>
      </w:r>
    </w:p>
    <w:p>
      <w:pPr>
        <w:pStyle w:val="Heading1"/>
        <w:spacing w:after="160"/>
      </w:pPr>
      <w:r>
        <w:rPr>
          <w:rFonts w:ascii="Georgia" w:cs="Georgia" w:eastAsia="Georgia" w:hAnsi="Georgia"/>
          <w:b/>
          <w:bCs/>
          <w:color w:val="1C1B1A"/>
          <w:sz w:val="40"/>
          <w:szCs w:val="40"/>
        </w:rPr>
        <w:t xml:space="preserve">Anatomía de un SKILL.md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Zona</w:t>
            </w:r>
          </w:p>
        </w:tc>
        <w:tc>
          <w:tcPr>
            <w:tcW w:type="dxa" w:w="65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Contenido</w:t>
            </w:r>
          </w:p>
        </w:tc>
      </w:tr>
      <w:tr>
        <w:trPr>
          <w:cantSplit/>
        </w:trPr>
        <w:tc>
          <w:tcPr>
            <w:tcW w:type="dxa" w:w="25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1. Frontmatter YAML</w:t>
            </w:r>
          </w:p>
        </w:tc>
        <w:tc>
          <w:tcPr>
            <w:tcW w:type="dxa" w:w="65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name + description con frases trigger. La description es el disparador de activación.</w:t>
            </w:r>
          </w:p>
        </w:tc>
      </w:tr>
      <w:tr>
        <w:trPr>
          <w:cantSplit/>
        </w:trPr>
        <w:tc>
          <w:tcPr>
            <w:tcW w:type="dxa" w:w="25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2. Propósito y posición</w:t>
            </w:r>
          </w:p>
        </w:tc>
        <w:tc>
          <w:tcPr>
            <w:tcW w:type="dxa" w:w="65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Qué resuelve, qué requiere (nombres canónicos de artefactos), qué produce, siguiente skill. El pipeline explícito mejora la coherencia.</w:t>
            </w:r>
          </w:p>
        </w:tc>
      </w:tr>
      <w:tr>
        <w:trPr>
          <w:cantSplit/>
        </w:trPr>
        <w:tc>
          <w:tcPr>
            <w:tcW w:type="dxa" w:w="25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3. Principios de ejecución</w:t>
            </w:r>
          </w:p>
        </w:tc>
        <w:tc>
          <w:tcPr>
            <w:tcW w:type="dxa" w:w="65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Jerarquía de fuentes, bloque de convenciones v4.3 (doctrina de avance, lenguaje calibrado, precondición) con puntero a convenciones.md.</w:t>
            </w:r>
          </w:p>
        </w:tc>
      </w:tr>
      <w:tr>
        <w:trPr>
          <w:cantSplit/>
        </w:trPr>
        <w:tc>
          <w:tcPr>
            <w:tcW w:type="dxa" w:w="25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4. Proceso paso a paso</w:t>
            </w:r>
          </w:p>
        </w:tc>
        <w:tc>
          <w:tcPr>
            <w:tcW w:type="dxa" w:w="65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Lectura previa obligatoria del Registro + pasos numerados + revisión de coherencia final.</w:t>
            </w:r>
          </w:p>
        </w:tc>
      </w:tr>
      <w:tr>
        <w:trPr>
          <w:cantSplit/>
        </w:trPr>
        <w:tc>
          <w:tcPr>
            <w:tcW w:type="dxa" w:w="25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5. Template de output</w:t>
            </w:r>
          </w:p>
        </w:tc>
        <w:tc>
          <w:tcPr>
            <w:tcW w:type="dxa" w:w="65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Estructura exacta del entregable. Si el formato final es XLSX/PPTX/HTML, se conserva como “Especificación de estructura para /revos:entrega”.</w:t>
            </w:r>
          </w:p>
        </w:tc>
      </w:tr>
      <w:tr>
        <w:trPr>
          <w:cantSplit/>
        </w:trPr>
        <w:tc>
          <w:tcPr>
            <w:tcW w:type="dxa" w:w="25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6. Entrega y restricciones</w:t>
            </w:r>
          </w:p>
        </w:tc>
        <w:tc>
          <w:tcPr>
            <w:tcW w:type="dxa" w:w="65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Guardado en 01 Entregables con el nombre canónico del artefacto, registro en el Registro, resumen para el consultor, lista de lo que NO hacer.</w:t>
            </w:r>
          </w:p>
        </w:tc>
      </w:tr>
    </w:tbl>
    <w:p>
      <w:pPr>
        <w:spacing w:after="40" w:before="360"/>
      </w:pPr>
      <w:r>
        <w:rPr>
          <w:rFonts w:ascii="Arial" w:cs="Arial" w:eastAsia="Arial" w:hAnsi="Arial"/>
          <w:color w:val="C129A1"/>
          <w:sz w:val="19"/>
          <w:szCs w:val="19"/>
        </w:rPr>
        <w:t xml:space="preserve">— Sección 8</w:t>
      </w:r>
    </w:p>
    <w:p>
      <w:pPr>
        <w:pStyle w:val="Heading1"/>
        <w:spacing w:after="160"/>
      </w:pPr>
      <w:r>
        <w:rPr>
          <w:rFonts w:ascii="Georgia" w:cs="Georgia" w:eastAsia="Georgia" w:hAnsi="Georgia"/>
          <w:b/>
          <w:bCs/>
          <w:color w:val="1C1B1A"/>
          <w:sz w:val="40"/>
          <w:szCs w:val="40"/>
        </w:rPr>
        <w:t xml:space="preserve">Framework de pricing</w:t>
      </w:r>
    </w:p>
    <w:p>
      <w:pPr>
        <w:spacing w:after="140" w:line="300"/>
      </w:pPr>
      <w:r>
        <w:rPr>
          <w:rFonts w:ascii="Arial" w:cs="Arial" w:eastAsia="Arial" w:hAnsi="Arial"/>
          <w:color w:val="1C1B1A"/>
          <w:sz w:val="21"/>
          <w:szCs w:val="21"/>
        </w:rPr>
        <w:t xml:space="preserve">Las horas son AI-augmented — aproximadamente el 40-50% del tiempo de consultoría tradicional para la misma calidad. La tabla es el suelo de referencia histórico; con el scope ampliado más allá de empresas medianas, el precio se revisa por propuesta cuando la complejidad organizativa lo justifique.</w:t>
      </w:r>
    </w:p>
    <w:p>
      <w:pPr>
        <w:spacing w:after="140" w:line="300"/>
      </w:pPr>
      <w:r>
        <w:rPr>
          <w:rFonts w:ascii="Arial" w:cs="Arial" w:eastAsia="Arial" w:hAnsi="Arial"/>
          <w:b/>
          <w:bCs/>
          <w:color w:val="1C1B1A"/>
          <w:sz w:val="21"/>
          <w:szCs w:val="21"/>
        </w:rPr>
        <w:t xml:space="preserve">Nota v4.3.1: </w:t>
      </w:r>
      <w:r>
        <w:rPr>
          <w:rFonts w:ascii="Arial" w:cs="Arial" w:eastAsia="Arial" w:hAnsi="Arial"/>
          <w:color w:val="1C1B1A"/>
          <w:sz w:val="21"/>
          <w:szCs w:val="21"/>
        </w:rPr>
        <w:t xml:space="preserve">las horas estimadas son pre-doctrina v4.3 y están pendientes de re-estimación con datos del piloto Diagnostic bajo operación agéntica. Hasta esa re-estimación, no comprometer el extremo superior de horas al precio de tabla: en ese rango el margen es negativo. El pricing por complejidad (bandas, supuestos de alcance, change orders y estimación propia por módulo) es una decisión abierta de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26"/>
      </w:tblGrid>
      <w:tr>
        <w:trPr>
          <w:tblHeader/>
        </w:trPr>
        <w:tc>
          <w:tcPr>
            <w:tcW w:type="dxa" w:w="24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Tier</w:t>
            </w:r>
          </w:p>
        </w:tc>
        <w:tc>
          <w:tcPr>
            <w:tcW w:type="dxa" w:w="20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Horas estimadas</w:t>
            </w:r>
          </w:p>
        </w:tc>
        <w:tc>
          <w:tcPr>
            <w:tcW w:type="dxa" w:w="2200"/>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Coste a 150 €/h</w:t>
            </w:r>
          </w:p>
        </w:tc>
        <w:tc>
          <w:tcPr>
            <w:tcW w:type="dxa" w:w="2426"/>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Precio sugerido (×1,35)</w:t>
            </w:r>
          </w:p>
        </w:tc>
      </w:tr>
      <w:tr>
        <w:trPr>
          <w:cantSplit/>
        </w:trPr>
        <w:tc>
          <w:tcPr>
            <w:tcW w:type="dxa" w:w="24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 Essentials</w:t>
            </w:r>
          </w:p>
        </w:tc>
        <w:tc>
          <w:tcPr>
            <w:tcW w:type="dxa" w:w="2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17–30 h</w:t>
            </w:r>
          </w:p>
        </w:tc>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2.500–4.400 €</w:t>
            </w:r>
          </w:p>
        </w:tc>
        <w:tc>
          <w:tcPr>
            <w:tcW w:type="dxa" w:w="24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3.500 €</w:t>
            </w:r>
          </w:p>
        </w:tc>
      </w:tr>
      <w:tr>
        <w:trPr>
          <w:cantSplit/>
        </w:trPr>
        <w:tc>
          <w:tcPr>
            <w:tcW w:type="dxa" w:w="24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RevOS Complete</w:t>
            </w:r>
          </w:p>
        </w:tc>
        <w:tc>
          <w:tcPr>
            <w:tcW w:type="dxa" w:w="20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35–62 h</w:t>
            </w:r>
          </w:p>
        </w:tc>
        <w:tc>
          <w:tcPr>
            <w:tcW w:type="dxa" w:w="2200"/>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5.300–9.300 €</w:t>
            </w:r>
          </w:p>
        </w:tc>
        <w:tc>
          <w:tcPr>
            <w:tcW w:type="dxa" w:w="2426"/>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7.300 €</w:t>
            </w:r>
          </w:p>
        </w:tc>
      </w:tr>
      <w:tr>
        <w:trPr>
          <w:cantSplit/>
        </w:trPr>
        <w:tc>
          <w:tcPr>
            <w:tcW w:type="dxa" w:w="24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Activaciones</w:t>
            </w:r>
          </w:p>
        </w:tc>
        <w:tc>
          <w:tcPr>
            <w:tcW w:type="dxa" w:w="20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n/a</w:t>
            </w:r>
          </w:p>
        </w:tc>
        <w:tc>
          <w:tcPr>
            <w:tcW w:type="dxa" w:w="2200"/>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n/a</w:t>
            </w:r>
          </w:p>
        </w:tc>
        <w:tc>
          <w:tcPr>
            <w:tcW w:type="dxa" w:w="2426"/>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600 € por módulo</w:t>
            </w:r>
          </w:p>
        </w:tc>
      </w:tr>
    </w:tbl>
    <w:p>
      <w:pPr>
        <w:spacing w:after="40" w:before="360"/>
      </w:pPr>
      <w:r>
        <w:rPr>
          <w:rFonts w:ascii="Arial" w:cs="Arial" w:eastAsia="Arial" w:hAnsi="Arial"/>
          <w:color w:val="C129A1"/>
          <w:sz w:val="19"/>
          <w:szCs w:val="19"/>
        </w:rPr>
        <w:t xml:space="preserve">— Sección 9</w:t>
      </w:r>
    </w:p>
    <w:p>
      <w:pPr>
        <w:pStyle w:val="Heading1"/>
        <w:spacing w:after="160"/>
      </w:pPr>
      <w:r>
        <w:rPr>
          <w:rFonts w:ascii="Georgia" w:cs="Georgia" w:eastAsia="Georgia" w:hAnsi="Georgia"/>
          <w:b/>
          <w:bCs/>
          <w:color w:val="1C1B1A"/>
          <w:sz w:val="40"/>
          <w:szCs w:val="40"/>
        </w:rPr>
        <w:t xml:space="preserve">Narrativa comercial</w:t>
      </w:r>
    </w:p>
    <w:p>
      <w:pPr>
        <w:spacing w:after="140" w:line="300"/>
      </w:pPr>
      <w:r>
        <w:rPr>
          <w:rFonts w:ascii="Arial" w:cs="Arial" w:eastAsia="Arial" w:hAnsi="Arial"/>
          <w:color w:val="1C1B1A"/>
          <w:sz w:val="21"/>
          <w:szCs w:val="21"/>
        </w:rPr>
        <w:t xml:space="preserve">El diagnóstico RevOS se construye sobre datos medidos por terceros — conectores de SEO, tráfico, motores generativos y CRM — y no solo sobre lo que el cliente declara: le dice al cliente algo que no sabía sobre sí mismo, con evidencia que puede comprobar. Eso lo separa de la consultoría que reordena lo que el cliente ya contó, y es un argumento central de la propuesta.</w:t>
      </w:r>
    </w:p>
    <w:p>
      <w:pPr>
        <w:spacing w:after="140" w:line="300"/>
      </w:pPr>
      <w:r>
        <w:rPr>
          <w:rFonts w:ascii="Arial" w:cs="Arial" w:eastAsia="Arial" w:hAnsi="Arial"/>
          <w:color w:val="1C1B1A"/>
          <w:sz w:val="21"/>
          <w:szCs w:val="21"/>
        </w:rPr>
        <w:t xml:space="preserve">El mayor riesgo comercial de RevOS no es el precio ni la competencia directa: es que el comprador archive la propuesta en un cajón conocido (agencia, consultor, fractional) o no sea consciente del problema. La narrativa instala primero la categoría (“revenue system”) y después demuestra que RevOS es la mejor opción dentro de ella.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No decir</w:t>
            </w:r>
          </w:p>
        </w:tc>
        <w:tc>
          <w:tcPr>
            <w:tcW w:type="dxa" w:w="4513"/>
            <w:tcBorders>
              <w:top w:val="single" w:color="DDD8CF" w:sz="4"/>
              <w:left w:val="single" w:color="DDD8CF" w:sz="4"/>
              <w:bottom w:val="single" w:color="DDD8CF" w:sz="4"/>
              <w:right w:val="single" w:color="DDD8CF" w:sz="4"/>
            </w:tcBorders>
            <w:shd w:fill="1C1B1A" w:val="clear"/>
            <w:tcMar>
              <w:top w:type="dxa" w:w="70"/>
              <w:left w:type="dxa" w:w="110"/>
              <w:bottom w:type="dxa" w:w="70"/>
              <w:right w:type="dxa" w:w="110"/>
            </w:tcMar>
          </w:tcPr>
          <w:p>
            <w:pPr>
              <w:spacing w:after="0" w:line="250"/>
            </w:pPr>
            <w:r>
              <w:rPr>
                <w:rFonts w:ascii="Arial" w:cs="Arial" w:eastAsia="Arial" w:hAnsi="Arial"/>
                <w:b/>
                <w:bCs/>
                <w:color w:val="FFFFFF"/>
                <w:sz w:val="19"/>
                <w:szCs w:val="19"/>
              </w:rPr>
              <w:t xml:space="preserve">Decir</w:t>
            </w:r>
          </w:p>
        </w:tc>
      </w:tr>
      <w:tr>
        <w:trPr>
          <w:cantSplit/>
        </w:trPr>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Somos una consultoría de marketing</w:t>
            </w:r>
          </w:p>
        </w:tc>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Diseñamos sistemas de revenue</w:t>
            </w:r>
          </w:p>
        </w:tc>
      </w:tr>
      <w:tr>
        <w:trPr>
          <w:cantSplit/>
        </w:trPr>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Te hacemos una estrategia</w:t>
            </w:r>
          </w:p>
        </w:tc>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Te entregamos los blueprints operativos de tu sistema de revenue</w:t>
            </w:r>
          </w:p>
        </w:tc>
      </w:tr>
      <w:tr>
        <w:trPr>
          <w:cantSplit/>
        </w:trPr>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 como un fractional CMO</w:t>
            </w:r>
          </w:p>
        </w:tc>
        <w:tc>
          <w:tcPr>
            <w:tcW w:type="dxa" w:w="4513"/>
            <w:tcBorders>
              <w:top w:val="single" w:color="DDD8CF" w:sz="4"/>
              <w:left w:val="single" w:color="DDD8CF" w:sz="4"/>
              <w:bottom w:val="single" w:color="DDD8CF" w:sz="4"/>
              <w:right w:val="single" w:color="DDD8CF" w:sz="4"/>
            </w:tcBorders>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Es lo que construiría un Revenue Director en el año uno — en semanas</w:t>
            </w:r>
          </w:p>
        </w:tc>
      </w:tr>
      <w:tr>
        <w:trPr>
          <w:cantSplit/>
        </w:trPr>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Usamos IA para ser más eficientes</w:t>
            </w:r>
          </w:p>
        </w:tc>
        <w:tc>
          <w:tcPr>
            <w:tcW w:type="dxa" w:w="4513"/>
            <w:tcBorders>
              <w:top w:val="single" w:color="DDD8CF" w:sz="4"/>
              <w:left w:val="single" w:color="DDD8CF" w:sz="4"/>
              <w:bottom w:val="single" w:color="DDD8CF" w:sz="4"/>
              <w:right w:val="single" w:color="DDD8CF" w:sz="4"/>
            </w:tcBorders>
            <w:shd w:fill="F6F4F0" w:val="clear"/>
            <w:tcMar>
              <w:top w:type="dxa" w:w="70"/>
              <w:left w:type="dxa" w:w="110"/>
              <w:bottom w:type="dxa" w:w="70"/>
              <w:right w:type="dxa" w:w="110"/>
            </w:tcMar>
          </w:tcPr>
          <w:p>
            <w:pPr>
              <w:spacing w:after="0" w:line="250"/>
            </w:pPr>
            <w:r>
              <w:rPr>
                <w:rFonts w:ascii="Arial" w:cs="Arial" w:eastAsia="Arial" w:hAnsi="Arial"/>
                <w:b w:val="false"/>
                <w:bCs w:val="false"/>
                <w:color w:val="1C1B1A"/>
                <w:sz w:val="19"/>
                <w:szCs w:val="19"/>
              </w:rPr>
              <w:t xml:space="preserve">Entregamos en semanas lo que antes tardaba meses</w:t>
            </w:r>
          </w:p>
        </w:tc>
      </w:tr>
    </w:tbl>
    <w:p>
      <w:pPr>
        <w:spacing w:after="40" w:before="360"/>
      </w:pPr>
      <w:r>
        <w:rPr>
          <w:rFonts w:ascii="Arial" w:cs="Arial" w:eastAsia="Arial" w:hAnsi="Arial"/>
          <w:color w:val="C129A1"/>
          <w:sz w:val="19"/>
          <w:szCs w:val="19"/>
        </w:rPr>
        <w:t xml:space="preserve">— Sección 10</w:t>
      </w:r>
    </w:p>
    <w:p>
      <w:pPr>
        <w:pStyle w:val="Heading1"/>
        <w:spacing w:after="160"/>
      </w:pPr>
      <w:r>
        <w:rPr>
          <w:rFonts w:ascii="Georgia" w:cs="Georgia" w:eastAsia="Georgia" w:hAnsi="Georgia"/>
          <w:b/>
          <w:bCs/>
          <w:color w:val="1C1B1A"/>
          <w:sz w:val="40"/>
          <w:szCs w:val="40"/>
        </w:rPr>
        <w:t xml:space="preserve">Después de RevOS — los tres caminos</w:t>
      </w:r>
    </w:p>
    <w:p>
      <w:pPr>
        <w:pStyle w:val="ListParagraph"/>
        <w:numPr>
          <w:ilvl w:val="0"/>
          <w:numId w:val="2"/>
        </w:numPr>
        <w:spacing w:after="90" w:line="290"/>
      </w:pPr>
      <w:r>
        <w:rPr>
          <w:rFonts w:ascii="Arial" w:cs="Arial" w:eastAsia="Arial" w:hAnsi="Arial"/>
          <w:color w:val="1C1B1A"/>
          <w:sz w:val="21"/>
          <w:szCs w:val="21"/>
        </w:rPr>
        <w:t xml:space="preserve">Implementación autónoma: el equipo del cliente implementa con los blueprints como guía. Soporte puntual, sin compromiso ongoing.</w:t>
      </w:r>
    </w:p>
    <w:p>
      <w:pPr>
        <w:pStyle w:val="ListParagraph"/>
        <w:numPr>
          <w:ilvl w:val="0"/>
          <w:numId w:val="2"/>
        </w:numPr>
        <w:spacing w:after="90" w:line="290"/>
      </w:pPr>
      <w:r>
        <w:rPr>
          <w:rFonts w:ascii="Arial" w:cs="Arial" w:eastAsia="Arial" w:hAnsi="Arial"/>
          <w:color w:val="1C1B1A"/>
          <w:sz w:val="21"/>
          <w:szCs w:val="21"/>
        </w:rPr>
        <w:t xml:space="preserve">Copilot de implementación: acompañamiento periódico — revisiones del sistema, ajustes al roadmap, soporte en decisiones.</w:t>
      </w:r>
    </w:p>
    <w:p>
      <w:pPr>
        <w:pStyle w:val="ListParagraph"/>
        <w:numPr>
          <w:ilvl w:val="0"/>
          <w:numId w:val="2"/>
        </w:numPr>
        <w:spacing w:after="90" w:line="290"/>
      </w:pPr>
      <w:r>
        <w:rPr>
          <w:rFonts w:ascii="Arial" w:cs="Arial" w:eastAsia="Arial" w:hAnsi="Arial"/>
          <w:color w:val="1C1B1A"/>
          <w:sz w:val="21"/>
          <w:szCs w:val="21"/>
        </w:rPr>
        <w:t xml:space="preserve">Acompañamiento recurrente (fractional o similar): liderazgo de revenue integrado. Sin ramp-up, porque el sistema ya existe.</w:t>
      </w:r>
    </w:p>
    <w:p>
      <w:pPr>
        <w:pBdr>
          <w:top w:val="single" w:color="DDD8CF" w:sz="4"/>
        </w:pBdr>
        <w:spacing w:before="500"/>
      </w:pPr>
      <w:r>
        <w:rPr>
          <w:rFonts w:ascii="Arial" w:cs="Arial" w:eastAsia="Arial" w:hAnsi="Arial"/>
          <w:color w:val="6B6862"/>
          <w:sz w:val="17"/>
          <w:szCs w:val="17"/>
        </w:rPr>
        <w:t xml:space="preserve">RevOS · Master Doc v3.0 · Agosto 2026 · RevOps Studio · Documento interno — vista derivada de las fuentes canónicas del plugin (grafo v4.3.1, convenciones v4.3, conectores, skills). Regenerar, no editar.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862"/>
        <w:sz w:val="17"/>
        <w:szCs w:val="17"/>
      </w:rPr>
      <w:t xml:space="preserve">RevOS · Master Doc v3.0 · </w:t>
    </w:r>
    <w:r>
      <w:rPr>
        <w:rFonts w:ascii="Arial" w:cs="Arial" w:eastAsia="Arial" w:hAnsi="Arial"/>
        <w:color w:val="6B686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2026-08-24T20:18:53.771Z</dcterms:created>
  <dcterms:modified xsi:type="dcterms:W3CDTF">2026-08-24T20:18:53.771Z</dcterms:modified>
</cp:coreProperties>
</file>

<file path=docProps/custom.xml><?xml version="1.0" encoding="utf-8"?>
<Properties xmlns="http://schemas.openxmlformats.org/officeDocument/2006/custom-properties" xmlns:vt="http://schemas.openxmlformats.org/officeDocument/2006/docPropsVTypes"/>
</file>