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C369FEF" w:rsidR="00E370AF" w:rsidRDefault="00286973">
            <w:r>
              <w:t>02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DC9BAFF" w:rsidR="00E370AF" w:rsidRDefault="00DE296F">
            <w:r>
              <w:t>Heritage Treasures: An In-Depth Analysis of UNESCO World Heritage Sites in Tableau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5F8CBE5C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</w:t>
      </w:r>
      <w:r w:rsidR="00286973"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 w:rsidR="00286973"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607AFB74">
            <wp:extent cx="5129530" cy="2564765"/>
            <wp:effectExtent l="0" t="0" r="0" b="698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53FFB01F" w:rsidR="00E370AF" w:rsidRPr="00637E15" w:rsidRDefault="00FE6AFD">
      <w:pPr>
        <w:rPr>
          <w:rFonts w:ascii="Helvativ neu" w:hAnsi="Helvativ neu"/>
          <w:b/>
        </w:rPr>
      </w:pPr>
      <w:r>
        <w:rPr>
          <w:rFonts w:ascii="Helvativ neu" w:hAnsi="Helvativ neu"/>
        </w:rPr>
        <w:t>Figure 1: Architecture and data flow of the He</w:t>
      </w:r>
      <w:r w:rsidR="00B404CD" w:rsidRPr="00637E15">
        <w:rPr>
          <w:rFonts w:ascii="Helvativ neu" w:hAnsi="Helvativ neu"/>
        </w:rPr>
        <w:t>ritage Treasures: An In-Depth Analysis of UNESCO World Heritage Sites in Tableau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2186E4-264A-470D-B9A4-9D852AB02E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5D578E-130D-4D31-8D04-0774DC1B8347}"/>
    <w:embedBold r:id="rId3" w:fontKey="{FBF2FFBD-F90E-4735-9280-11A528DBA3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69F06E5-3184-4AA4-93D0-2B79C85135CA}"/>
    <w:embedItalic r:id="rId5" w:fontKey="{DC17AC63-8864-4F95-AE62-ACB50336F0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ativ neu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F5A3DBF-4045-42EE-8966-CA15EB3F65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86973"/>
    <w:rsid w:val="003C76FE"/>
    <w:rsid w:val="00637E15"/>
    <w:rsid w:val="00862077"/>
    <w:rsid w:val="00B404CD"/>
    <w:rsid w:val="00BC27A3"/>
    <w:rsid w:val="00DE296F"/>
    <w:rsid w:val="00E370AF"/>
    <w:rsid w:val="00FE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Venkata Sai Nuthanapati</cp:lastModifiedBy>
  <cp:revision>8</cp:revision>
  <dcterms:created xsi:type="dcterms:W3CDTF">2022-10-03T08:27:00Z</dcterms:created>
  <dcterms:modified xsi:type="dcterms:W3CDTF">2026-07-04T14:36:00Z</dcterms:modified>
</cp:coreProperties>
</file>