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gridSpan w:val="2"/>
            <w:shd w:fill="FF0000" w:color="FFFFFF"/>
          </w:tcPr>
          <w:p>
            <w:r>
              <w:rPr>
                <w:b/>
                <w:bCs/>
              </w:rPr>
              <w:t xml:space="preserve">Observation No. 1</w:t>
            </w:r>
          </w:p>
        </w:tc>
      </w:tr>
      <w:tr>
        <w:tc>
          <w:tcPr>
            <w:tcW w:type="pct" w:w="20%"/>
          </w:tcPr>
          <w:p>
            <w:r>
              <w:rPr>
                <w:b/>
                <w:bCs/>
              </w:rPr>
              <w:t xml:space="preserve">Vulnerability</w:t>
            </w:r>
          </w:p>
        </w:tc>
        <w:tc>
          <w:tcPr>
            <w:tcMar>
              <w:top w:type="dxa" w:w="0"/>
              <w:left w:type="dxa" w:w="72"/>
              <w:bottom w:type="dxa" w:w="144"/>
              <w:right w:type="dxa" w:w="144"/>
            </w:tcMar>
          </w:tcPr>
          <w:p>
            <w:r>
              <w:t xml:space="preserve">SQL injection</w:t>
            </w:r>
          </w:p>
        </w:tc>
      </w:tr>
      <w:tr>
        <w:tc>
          <w:p>
            <w:r>
              <w:rPr>
                <w:b/>
                <w:bCs/>
              </w:rPr>
              <w:t xml:space="preserve">Status</w:t>
            </w:r>
          </w:p>
        </w:tc>
        <w:tc>
          <w:tcPr>
            <w:tcMar>
              <w:top w:type="dxa" w:w="0"/>
              <w:left w:type="dxa" w:w="72"/>
              <w:bottom w:type="dxa" w:w="144"/>
              <w:right w:type="dxa" w:w="144"/>
            </w:tcMar>
          </w:tcPr>
          <w:p>
            <w:r>
              <w:t xml:space="preserve">Close</w:t>
            </w:r>
          </w:p>
        </w:tc>
      </w:tr>
      <w:tr>
        <w:tc>
          <w:p>
            <w:r>
              <w:rPr>
                <w:b/>
                <w:bCs/>
              </w:rPr>
              <w:t xml:space="preserve">Severity</w:t>
            </w:r>
          </w:p>
        </w:tc>
        <w:tc>
          <w:tcPr>
            <w:shd w:fill="FF0000" w:color="FFFFFF"/>
            <w:tcMar>
              <w:top w:type="dxa" w:w="0"/>
              <w:left w:type="dxa" w:w="72"/>
              <w:bottom w:type="dxa" w:w="144"/>
              <w:right w:type="dxa" w:w="144"/>
            </w:tcMar>
          </w:tcPr>
          <w:p>
            <w:r>
              <w:rPr>
                <w:b/>
                <w:bCs/>
              </w:rPr>
              <w:t xml:space="preserve">High</w:t>
            </w:r>
          </w:p>
        </w:tc>
      </w:tr>
      <w:tr>
        <w:tc>
          <w:p>
            <w:r>
              <w:rPr>
                <w:b/>
                <w:bCs/>
              </w:rPr>
              <w:t xml:space="preserve">Description</w:t>
            </w:r>
          </w:p>
        </w:tc>
        <w:tc>
          <w:tcPr>
            <w:tcMar>
              <w:top w:type="dxa" w:w="0"/>
              <w:left w:type="dxa" w:w="72"/>
              <w:bottom w:type="dxa" w:w="144"/>
              <w:right w:type="dxa" w:w="144"/>
            </w:tcMar>
          </w:tcPr>
          <w:p>
            <w:pPr>
              <w:jc w:val="both"/>
            </w:pPr>
            <w:r>
              <w:t xml:space="preserve">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
A wide range of damaging attacks can often be delivered via SQL injection, including reading or modifying critical application data, interfering with application logic, escalating privileges within the database and taking control of the database server</w:t>
            </w:r>
          </w:p>
        </w:tc>
      </w:tr>
      <w:tr>
        <w:tc>
          <w:p>
            <w:r>
              <w:rPr>
                <w:b/>
                <w:bCs/>
              </w:rPr>
              <w:t xml:space="preserve">Remediation</w:t>
            </w:r>
          </w:p>
        </w:tc>
        <w:tc>
          <w:tcPr>
            <w:tcMar>
              <w:top w:type="dxa" w:w="0"/>
              <w:left w:type="dxa" w:w="72"/>
              <w:bottom w:type="dxa" w:w="144"/>
              <w:right w:type="dxa" w:w="144"/>
            </w:tcMar>
          </w:tcPr>
          <w:p>
            <w:pPr>
              <w:jc w:val="both"/>
            </w:pPr>
            <w:r>
              <w:t xml:space="preserve">The most effective way to prevent SQL injection attacks is to use parameterized queries (also known as prepared statements) for all database access. This method uses two steps to incorporate potentially tainted data into SQL queries: first, the application specifies the structure of the query, leaving placeholders for each item of user input; second, the application specifies the contents of each placeholder</w:t>
            </w:r>
          </w:p>
        </w:tc>
      </w:tr>
      <w:tr>
        <w:tc>
          <w:p>
            <w:r>
              <w:rPr>
                <w:b/>
                <w:bCs/>
              </w:rPr>
              <w:t xml:space="preserve">Affected URLs</w:t>
            </w:r>
          </w:p>
        </w:tc>
        <w:tc>
          <w:tcPr>
            <w:tcMar>
              <w:top w:type="dxa" w:w="0"/>
              <w:left w:type="dxa" w:w="72"/>
              <w:bottom w:type="dxa" w:w="144"/>
              <w:right w:type="dxa" w:w="144"/>
            </w:tcMar>
          </w:tcPr>
          <w:p>
            <w:pPr>
              <w:pStyle w:val="ListParagraph"/>
              <w:numPr>
                <w:ilvl w:val="0"/>
                <w:numId w:val="1"/>
              </w:numPr>
            </w:pPr>
            <w:r>
              <w:t xml:space="preserve">http://localhost:3000/observation/create/64f5cfc774d05ba3ae39cef7</w:t>
            </w:r>
          </w:p>
          <w:p>
            <w:pPr>
              <w:pStyle w:val="ListParagraph"/>
              <w:numPr>
                <w:ilvl w:val="0"/>
                <w:numId w:val="1"/>
              </w:numPr>
            </w:pPr>
            <w:r>
              <w:t xml:space="preserve">http://localhost:3000/observation/create/64f5cfc774d05ba3ae39cef7</w:t>
            </w:r>
          </w:p>
        </w:tc>
      </w:tr>
      <w:tr>
        <w:tc>
          <w:p>
            <w:r>
              <w:rPr>
                <w:b/>
                <w:bCs/>
              </w:rPr>
              <w:t xml:space="preserve">References</w:t>
            </w:r>
          </w:p>
        </w:tc>
        <w:tc>
          <w:tcPr>
            <w:tcMar>
              <w:top w:type="dxa" w:w="0"/>
              <w:left w:type="dxa" w:w="72"/>
              <w:bottom w:type="dxa" w:w="144"/>
              <w:right w:type="dxa" w:w="144"/>
            </w:tcMar>
          </w:tcPr>
          <w:p>
            <w:r>
              <w:t xml:space="preserve">Web Security Academy: SQL injection
Using Burp to Test for Injection Flaws
Web Security Academy: SQL Injection Cheat Sheet</w:t>
            </w:r>
          </w:p>
        </w:tc>
      </w:tr>
      <w:tr>
        <w:tc>
          <w:p>
            <w:r>
              <w:rPr>
                <w:b/>
                <w:bCs/>
              </w:rPr>
              <w:t xml:space="preserve">Proof Of Concept</w:t>
            </w:r>
          </w:p>
        </w:tc>
        <w:tc>
          <w:tcPr>
            <w:tcMar>
              <w:top w:type="dxa" w:w="0"/>
              <w:left w:type="dxa" w:w="72"/>
              <w:bottom w:type="dxa" w:w="144"/>
              <w:right w:type="dxa" w:w="144"/>
            </w:tcMar>
          </w:tcPr>
          <w:p>
            <w:r>
              <w:t xml:space="preserve">Screenshot shared below.</w:t>
            </w:r>
          </w:p>
        </w:tc>
      </w:tr>
      <w:tr>
        <w:tc>
          <w:tcPr>
            <w:gridSpan w:val="2"/>
            <w:tcMar>
              <w:top w:type="dxa" w:w="144"/>
              <w:left w:type="dxa" w:w="0"/>
              <w:bottom w:type="dxa" w:w="144"/>
              <w:right w:type="dxa" w:w="0"/>
            </w:tcMar>
          </w:tcPr>
          <w:p>
            <w:pPr>
              <w:jc w:val="center"/>
            </w:pPr>
            <w:r>
              <w:t xml:space="preserve">http://localhost:3000/observation/create/64f5cfc774d05ba3ae39cef7</w:t>
            </w:r>
          </w:p>
          <w:p>
            <w:pPr>
              <w:spacing w:after="200"/>
              <w:jc w:val="center"/>
            </w:pPr>
            <w:r>
              <w:drawing>
                <wp:inline distT="0" distB="0" distL="0" distR="0">
                  <wp:extent cx="5524500" cy="33337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524500" cy="3333750"/>
                          </a:xfrm>
                          <a:prstGeom prst="rect">
                            <a:avLst/>
                          </a:prstGeom>
                        </pic:spPr>
                      </pic:pic>
                    </a:graphicData>
                  </a:graphic>
                </wp:inline>
              </w:drawing>
            </w:r>
          </w:p>
        </w:tc>
      </w:tr>
      <w:tr>
        <w:tc>
          <w:tcPr>
            <w:gridSpan w:val="2"/>
            <w:tcMar>
              <w:top w:type="dxa" w:w="144"/>
              <w:left w:type="dxa" w:w="0"/>
              <w:bottom w:type="dxa" w:w="144"/>
              <w:right w:type="dxa" w:w="0"/>
            </w:tcMar>
          </w:tcPr>
          <w:p>
            <w:pPr>
              <w:pageBreakBefore/>
              <w:jc w:val="center"/>
            </w:pPr>
            <w:r>
              <w:t xml:space="preserve">http://localhost:3000/observation/create/64f5cfc774d05ba3ae39cef7</w:t>
            </w:r>
          </w:p>
          <w:p>
            <w:pPr>
              <w:spacing w:after="200"/>
              <w:jc w:val="center"/>
            </w:pPr>
            <w:r>
              <w:drawing>
                <wp:inline distT="0" distB="0" distL="0" distR="0">
                  <wp:extent cx="5524500" cy="3333750"/>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5524500" cy="3333750"/>
                          </a:xfrm>
                          <a:prstGeom prst="rect">
                            <a:avLst/>
                          </a:prstGeom>
                        </pic:spPr>
                      </pic:pic>
                    </a:graphicData>
                  </a:graphic>
                </wp:inline>
              </w:drawing>
            </w:r>
          </w:p>
        </w:tc>
      </w:tr>
      <w:tr>
        <w:tc>
          <w:tcPr>
            <w:gridSpan w:val="2"/>
            <w:tcMar>
              <w:top w:type="dxa" w:w="144"/>
              <w:left w:type="dxa" w:w="0"/>
              <w:bottom w:type="dxa" w:w="144"/>
              <w:right w:type="dxa" w:w="0"/>
            </w:tcMar>
          </w:tcPr>
          <w:p>
            <w:pPr>
              <w:jc w:val="center"/>
            </w:pPr>
            <w:r>
              <w:t xml:space="preserve">http://localhost:3000/observation/create/64f5cfc774d05ba3ae39cef7</w:t>
            </w:r>
          </w:p>
          <w:p>
            <w:pPr>
              <w:spacing w:after="200"/>
              <w:jc w:val="center"/>
            </w:pPr>
            <w:r>
              <w:drawing>
                <wp:inline distT="0" distB="0" distL="0" distR="0">
                  <wp:extent cx="5524500" cy="3333750"/>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5524500" cy="3333750"/>
                          </a:xfrm>
                          <a:prstGeom prst="rect">
                            <a:avLst/>
                          </a:prstGeom>
                        </pic:spPr>
                      </pic:pic>
                    </a:graphicData>
                  </a:graphic>
                </wp:inline>
              </w:drawing>
            </w:r>
          </w:p>
        </w:tc>
      </w:tr>
      <w:tr>
        <w:tc>
          <w:tcPr>
            <w:gridSpan w:val="2"/>
            <w:tcMar>
              <w:top w:type="dxa" w:w="144"/>
              <w:left w:type="dxa" w:w="0"/>
              <w:bottom w:type="dxa" w:w="144"/>
              <w:right w:type="dxa" w:w="0"/>
            </w:tcMar>
          </w:tcPr>
          <w:p>
            <w:pPr>
              <w:pageBreakBefore/>
              <w:jc w:val="center"/>
            </w:pPr>
            <w:r>
              <w:t xml:space="preserve">http://localhost:3000/observation/create/64f5cfc774d05ba3ae39cef7</w:t>
            </w:r>
          </w:p>
          <w:p>
            <w:pPr>
              <w:spacing w:after="200"/>
              <w:jc w:val="center"/>
            </w:pPr>
            <w:r>
              <w:drawing>
                <wp:inline distT="0" distB="0" distL="0" distR="0">
                  <wp:extent cx="5524500" cy="3333750"/>
                  <wp:effectExtent b="0" l="0" r="0" t="0"/>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5524500" cy="3333750"/>
                          </a:xfrm>
                          <a:prstGeom prst="rect">
                            <a:avLst/>
                          </a:prstGeom>
                        </pic:spPr>
                      </pic:pic>
                    </a:graphicData>
                  </a:graphic>
                </wp:inline>
              </w:drawing>
            </w:r>
          </w:p>
        </w:tc>
      </w:tr>
    </w:tbl>
    <w:sectPr>
      <w:headerReference w:type="default" r:id="rId6"/>
      <w:footerReference w:type="default" r:id="rId7"/>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left"/>
    </w:pPr>
    <w:p>
      <w:r>
        <w:rPr>
          <w:i/>
          <w:iCs/>
        </w:rPr>
        <w:t xml:space="preserve">Confidential</w:t>
      </w:r>
    </w:p>
    <w:p>
      <w:r>
        <w:rPr>
          <w:b/>
          <w:bCs/>
        </w:rPr>
        <w:t xml:space="preserve">Protean Infosec Services Limited</w:t>
      </w:r>
    </w:p>
    <w:p>
      <w:r>
        <w:rPr>
          <w:i/>
          <w:iCs/>
        </w:rPr>
        <w:t xml:space="preserve">(Formerly NSDL e-Governance InfoSec Services Limited)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200"/>
      <w:jc w:val="right"/>
    </w:pPr>
    <w:r>
      <w:drawing>
        <wp:inline distT="0" distB="0" distL="0" distR="0">
          <wp:extent cx="571500" cy="523875"/>
          <wp:effectExtent b="0" l="0" r="0" t="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 cy="523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fjz2vizmgjjqj1oqpxseh.png"/><Relationship Id="rId9" Type="http://schemas.openxmlformats.org/officeDocument/2006/relationships/image" Target="media/ntox-husgg91w6akmppia.png"/><Relationship Id="rId10" Type="http://schemas.openxmlformats.org/officeDocument/2006/relationships/image" Target="media/zfmeoov2ly360aky9j5eu.png"/><Relationship Id="rId11" Type="http://schemas.openxmlformats.org/officeDocument/2006/relationships/image" Target="media/4ilvftmisfsjctok8suw3.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lbfsyndbn4isesprlpey1.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Protean Infosec</dc:creator>
  <cp:lastModifiedBy>Un-named</cp:lastModifiedBy>
  <cp:revision>1</cp:revision>
  <dcterms:created xsi:type="dcterms:W3CDTF">2023-09-05T05:47:54.664Z</dcterms:created>
  <dcterms:modified xsi:type="dcterms:W3CDTF">2023-09-05T05:47:54.664Z</dcterms:modified>
</cp:coreProperties>
</file>

<file path=docProps/custom.xml><?xml version="1.0" encoding="utf-8"?>
<Properties xmlns="http://schemas.openxmlformats.org/officeDocument/2006/custom-properties" xmlns:vt="http://schemas.openxmlformats.org/officeDocument/2006/docPropsVTypes"/>
</file>