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alibri" w:hAnsi="Calibri"/>
          <w:b/>
          <w:color w:val="1599B8"/>
          <w:sz w:val="18"/>
        </w:rPr>
        <w:t>ACTURUS / CONNECTED DEMO RUNBOOK</w:t>
      </w:r>
    </w:p>
    <w:p>
      <w:pPr>
        <w:pStyle w:val="Title"/>
      </w:pPr>
      <w:r>
        <w:t>Local Northstar →</w:t>
        <w:br/>
        <w:t>Live AI CONTROL GRID</w:t>
      </w:r>
    </w:p>
    <w:p>
      <w:pPr>
        <w:pStyle w:val="Subtitle"/>
      </w:pPr>
      <w:r>
        <w:t>A presenter-ready workflow for Render governance, live enforcement, and hosted evidence</w:t>
      </w:r>
    </w:p>
    <w:p>
      <w:pPr>
        <w:spacing w:before="0" w:after="360"/>
      </w:pPr>
      <w:r>
        <w:rPr>
          <w:rFonts w:ascii="Calibri" w:hAnsi="Calibri"/>
          <w:b/>
          <w:color w:val="5F6D82"/>
          <w:sz w:val="19"/>
        </w:rPr>
        <w:t>Presenter edition 2.0  |  July 2026  |  Synthetic data only</w:t>
      </w:r>
    </w:p>
    <w:tbl>
      <w:tblPr>
        <w:tblW w:type="dxa" w:w="9360"/>
        <w:jc w:val="left"/>
        <w:tblLayout w:type="fixed"/>
        <w:tblLook w:firstColumn="1" w:firstRow="1" w:lastColumn="0" w:lastRow="0" w:noHBand="0" w:noVBand="1" w:val="04A0"/>
        <w:tblInd w:w="120" w:type="dxa"/>
        <w:tblBorders>
          <w:top w:val="single" w:sz="5" w:space="0" w:color="C7D5EA"/>
          <w:left w:val="single" w:sz="5" w:space="0" w:color="C7D5EA"/>
          <w:bottom w:val="single" w:sz="5" w:space="0" w:color="C7D5EA"/>
          <w:right w:val="single" w:sz="5" w:space="0" w:color="C7D5EA"/>
          <w:insideH w:val="single" w:sz="5" w:space="0" w:color="C7D5EA"/>
          <w:insideV w:val="single" w:sz="5" w:space="0" w:color="C7D5EA"/>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F" w:val="clear"/>
          </w:tcPr>
          <w:p>
            <w:pPr>
              <w:spacing w:after="40"/>
              <w:jc w:val="center"/>
            </w:pPr>
            <w:r>
              <w:rPr>
                <w:rFonts w:ascii="Calibri" w:hAnsi="Calibri"/>
                <w:b/>
                <w:color w:val="356CFF"/>
                <w:sz w:val="24"/>
              </w:rPr>
              <w:t>7 MIN</w:t>
            </w:r>
          </w:p>
          <w:p>
            <w:pPr>
              <w:spacing w:before="0" w:after="0"/>
              <w:jc w:val="center"/>
            </w:pPr>
            <w:r>
              <w:rPr>
                <w:rFonts w:ascii="Calibri" w:hAnsi="Calibri"/>
                <w:color w:val="5F6D82"/>
                <w:sz w:val="16"/>
              </w:rPr>
              <w:t>connected proof</w:t>
            </w:r>
          </w:p>
        </w:tc>
        <w:tc>
          <w:tcPr>
            <w:tcW w:type="dxa" w:w="2340"/>
            <w:tcMar>
              <w:top w:w="80" w:type="dxa"/>
              <w:start w:w="120" w:type="dxa"/>
              <w:bottom w:w="80" w:type="dxa"/>
              <w:end w:w="120" w:type="dxa"/>
            </w:tcMar>
            <w:vAlign w:val="center"/>
            <w:shd w:fill="EDF9FC" w:val="clear"/>
          </w:tcPr>
          <w:p>
            <w:pPr>
              <w:spacing w:after="40"/>
              <w:jc w:val="center"/>
            </w:pPr>
            <w:r>
              <w:rPr>
                <w:rFonts w:ascii="Calibri" w:hAnsi="Calibri"/>
                <w:b/>
                <w:color w:val="1599B8"/>
                <w:sz w:val="24"/>
              </w:rPr>
              <w:t>4 SYSTEMS</w:t>
            </w:r>
          </w:p>
          <w:p>
            <w:pPr>
              <w:spacing w:before="0" w:after="0"/>
              <w:jc w:val="center"/>
            </w:pPr>
            <w:r>
              <w:rPr>
                <w:rFonts w:ascii="Calibri" w:hAnsi="Calibri"/>
                <w:color w:val="5F6D82"/>
                <w:sz w:val="16"/>
              </w:rPr>
              <w:t>local, Render, model, Firebase</w:t>
            </w:r>
          </w:p>
        </w:tc>
        <w:tc>
          <w:tcPr>
            <w:tcW w:type="dxa" w:w="2340"/>
            <w:tcMar>
              <w:top w:w="80" w:type="dxa"/>
              <w:start w:w="120" w:type="dxa"/>
              <w:bottom w:w="80" w:type="dxa"/>
              <w:end w:w="120" w:type="dxa"/>
            </w:tcMar>
            <w:vAlign w:val="center"/>
            <w:shd w:fill="F2EFFF" w:val="clear"/>
          </w:tcPr>
          <w:p>
            <w:pPr>
              <w:spacing w:after="40"/>
              <w:jc w:val="center"/>
            </w:pPr>
            <w:r>
              <w:rPr>
                <w:rFonts w:ascii="Calibri" w:hAnsi="Calibri"/>
                <w:b/>
                <w:color w:val="7569D8"/>
                <w:sz w:val="24"/>
              </w:rPr>
              <w:t>2 PROMPTS</w:t>
            </w:r>
          </w:p>
          <w:p>
            <w:pPr>
              <w:spacing w:before="0" w:after="0"/>
              <w:jc w:val="center"/>
            </w:pPr>
            <w:r>
              <w:rPr>
                <w:rFonts w:ascii="Calibri" w:hAnsi="Calibri"/>
                <w:color w:val="5F6D82"/>
                <w:sz w:val="16"/>
              </w:rPr>
              <w:t>allow and block</w:t>
            </w:r>
          </w:p>
        </w:tc>
        <w:tc>
          <w:tcPr>
            <w:tcW w:type="dxa" w:w="2340"/>
            <w:tcMar>
              <w:top w:w="80" w:type="dxa"/>
              <w:start w:w="120" w:type="dxa"/>
              <w:bottom w:w="80" w:type="dxa"/>
              <w:end w:w="120" w:type="dxa"/>
            </w:tcMar>
            <w:vAlign w:val="center"/>
            <w:shd w:fill="F4F6F9" w:val="clear"/>
          </w:tcPr>
          <w:p>
            <w:pPr>
              <w:spacing w:after="40"/>
              <w:jc w:val="center"/>
            </w:pPr>
            <w:r>
              <w:rPr>
                <w:rFonts w:ascii="Calibri" w:hAnsi="Calibri"/>
                <w:b/>
                <w:color w:val="07101F"/>
                <w:sz w:val="24"/>
              </w:rPr>
              <w:t>1 CONTROL LOOP</w:t>
            </w:r>
          </w:p>
          <w:p>
            <w:pPr>
              <w:spacing w:before="0" w:after="0"/>
              <w:jc w:val="center"/>
            </w:pPr>
            <w:r>
              <w:rPr>
                <w:rFonts w:ascii="Calibri" w:hAnsi="Calibri"/>
                <w:color w:val="5F6D82"/>
                <w:sz w:val="16"/>
              </w:rPr>
              <w:t>policy, evidence, incident</w:t>
            </w:r>
          </w:p>
        </w:tc>
      </w:tr>
    </w:tbl>
    <w:p>
      <w:pPr>
        <w:spacing w:after="0"/>
      </w:pPr>
    </w:p>
    <w:p>
      <w:pPr>
        <w:spacing w:before="80" w:after="280" w:line="288" w:lineRule="auto"/>
        <w:ind w:left="230" w:right="173"/>
        <w:shd w:fill="EAF2FF" w:val="clear"/>
        <w:pBdr>
          <w:left w:val="single" w:sz="20" w:space="7" w:color="356CFF"/>
        </w:pBdr>
      </w:pPr>
      <w:r>
        <w:rPr>
          <w:rFonts w:ascii="Calibri" w:hAnsi="Calibri"/>
          <w:b/>
          <w:color w:val="356CFF"/>
          <w:sz w:val="19"/>
        </w:rPr>
        <w:t xml:space="preserve">DEMO PROMISE  </w:t>
      </w:r>
      <w:r>
        <w:rPr>
          <w:rFonts w:ascii="Calibri" w:hAnsi="Calibri"/>
          <w:color w:val="17243A"/>
          <w:sz w:val="21"/>
        </w:rPr>
        <w:t>Prove that a local frontline action is governed on Render before and after model execution, then appears in the hosted evidence and incident workflow.</w:t>
      </w:r>
    </w:p>
    <w:p>
      <w:pPr>
        <w:pStyle w:val="Heading1"/>
        <w:keepNext/>
      </w:pPr>
      <w:r>
        <w:rPr>
          <w:rFonts w:ascii="Calibri" w:hAnsi="Calibri"/>
          <w:b/>
          <w:color w:val="356CFF"/>
          <w:sz w:val="32"/>
        </w:rPr>
        <w:t>The live control path</w:t>
      </w:r>
    </w:p>
    <w:p>
      <w:pPr>
        <w:keepNext/>
        <w:spacing w:before="0" w:after="200"/>
      </w:pPr>
      <w:r>
        <w:rPr>
          <w:rFonts w:ascii="Calibri" w:hAnsi="Calibri"/>
          <w:i/>
          <w:color w:val="5F6D82"/>
          <w:sz w:val="21"/>
        </w:rPr>
        <w:t>Keep the narrative on one request moving through one closed loop.</w:t>
      </w:r>
    </w:p>
    <w:tbl>
      <w:tblPr>
        <w:tblW w:type="dxa" w:w="9360"/>
        <w:jc w:val="left"/>
        <w:tblLayout w:type="fixed"/>
        <w:tblLook w:firstColumn="1" w:firstRow="1" w:lastColumn="0" w:lastRow="0" w:noHBand="0" w:noVBand="1" w:val="04A0"/>
        <w:tblInd w:w="12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1872"/>
        <w:gridCol w:w="1872"/>
        <w:gridCol w:w="1872"/>
        <w:gridCol w:w="1872"/>
        <w:gridCol w:w="1872"/>
      </w:tblGrid>
      <w:tr>
        <w:trPr>
          <w:tblHeader w:val="true"/>
        </w:trPr>
        <w:tc>
          <w:tcPr>
            <w:tcW w:type="dxa" w:w="1872"/>
            <w:tcMar>
              <w:top w:w="80" w:type="dxa"/>
              <w:start w:w="120" w:type="dxa"/>
              <w:bottom w:w="80" w:type="dxa"/>
              <w:end w:w="120" w:type="dxa"/>
            </w:tcMar>
            <w:vAlign w:val="center"/>
            <w:shd w:fill="EAF2FF" w:val="clear"/>
          </w:tcPr>
          <w:p>
            <w:pPr>
              <w:spacing w:after="40"/>
              <w:jc w:val="center"/>
            </w:pPr>
            <w:r>
              <w:rPr>
                <w:rFonts w:ascii="Calibri" w:hAnsi="Calibri"/>
                <w:b/>
                <w:color w:val="356CFF"/>
                <w:sz w:val="16"/>
              </w:rPr>
              <w:t>01</w:t>
            </w:r>
          </w:p>
          <w:p>
            <w:pPr>
              <w:spacing w:before="0" w:after="40"/>
              <w:jc w:val="center"/>
            </w:pPr>
            <w:r>
              <w:rPr>
                <w:rFonts w:ascii="Calibri" w:hAnsi="Calibri"/>
                <w:b/>
                <w:color w:val="17243A"/>
                <w:sz w:val="18"/>
              </w:rPr>
              <w:t>LOCAL</w:t>
            </w:r>
          </w:p>
          <w:p>
            <w:pPr>
              <w:spacing w:before="0" w:after="0"/>
              <w:jc w:val="center"/>
            </w:pPr>
            <w:r>
              <w:rPr>
                <w:rFonts w:ascii="Calibri" w:hAnsi="Calibri"/>
                <w:color w:val="5F6D82"/>
                <w:sz w:val="15"/>
              </w:rPr>
              <w:t>Northstar input</w:t>
            </w:r>
          </w:p>
        </w:tc>
        <w:tc>
          <w:tcPr>
            <w:tcW w:type="dxa" w:w="1872"/>
            <w:tcMar>
              <w:top w:w="80" w:type="dxa"/>
              <w:start w:w="120" w:type="dxa"/>
              <w:bottom w:w="80" w:type="dxa"/>
              <w:end w:w="120" w:type="dxa"/>
            </w:tcMar>
            <w:vAlign w:val="center"/>
            <w:shd w:fill="EDF9FC" w:val="clear"/>
          </w:tcPr>
          <w:p>
            <w:pPr>
              <w:spacing w:after="40"/>
              <w:jc w:val="center"/>
            </w:pPr>
            <w:r>
              <w:rPr>
                <w:rFonts w:ascii="Calibri" w:hAnsi="Calibri"/>
                <w:b/>
                <w:color w:val="1599B8"/>
                <w:sz w:val="16"/>
              </w:rPr>
              <w:t>02</w:t>
            </w:r>
          </w:p>
          <w:p>
            <w:pPr>
              <w:spacing w:before="0" w:after="40"/>
              <w:jc w:val="center"/>
            </w:pPr>
            <w:r>
              <w:rPr>
                <w:rFonts w:ascii="Calibri" w:hAnsi="Calibri"/>
                <w:b/>
                <w:color w:val="17243A"/>
                <w:sz w:val="18"/>
              </w:rPr>
              <w:t>PREFLIGHT</w:t>
            </w:r>
          </w:p>
          <w:p>
            <w:pPr>
              <w:spacing w:before="0" w:after="0"/>
              <w:jc w:val="center"/>
            </w:pPr>
            <w:r>
              <w:rPr>
                <w:rFonts w:ascii="Calibri" w:hAnsi="Calibri"/>
                <w:color w:val="5F6D82"/>
                <w:sz w:val="15"/>
              </w:rPr>
              <w:t>Render policy</w:t>
            </w:r>
          </w:p>
        </w:tc>
        <w:tc>
          <w:tcPr>
            <w:tcW w:type="dxa" w:w="1872"/>
            <w:tcMar>
              <w:top w:w="80" w:type="dxa"/>
              <w:start w:w="120" w:type="dxa"/>
              <w:bottom w:w="80" w:type="dxa"/>
              <w:end w:w="120" w:type="dxa"/>
            </w:tcMar>
            <w:vAlign w:val="center"/>
            <w:shd w:fill="F2EFFF" w:val="clear"/>
          </w:tcPr>
          <w:p>
            <w:pPr>
              <w:spacing w:after="40"/>
              <w:jc w:val="center"/>
            </w:pPr>
            <w:r>
              <w:rPr>
                <w:rFonts w:ascii="Calibri" w:hAnsi="Calibri"/>
                <w:b/>
                <w:color w:val="7569D8"/>
                <w:sz w:val="16"/>
              </w:rPr>
              <w:t>03</w:t>
            </w:r>
          </w:p>
          <w:p>
            <w:pPr>
              <w:spacing w:before="0" w:after="40"/>
              <w:jc w:val="center"/>
            </w:pPr>
            <w:r>
              <w:rPr>
                <w:rFonts w:ascii="Calibri" w:hAnsi="Calibri"/>
                <w:b/>
                <w:color w:val="17243A"/>
                <w:sz w:val="18"/>
              </w:rPr>
              <w:t>MODEL</w:t>
            </w:r>
          </w:p>
          <w:p>
            <w:pPr>
              <w:spacing w:before="0" w:after="0"/>
              <w:jc w:val="center"/>
            </w:pPr>
            <w:r>
              <w:rPr>
                <w:rFonts w:ascii="Calibri" w:hAnsi="Calibri"/>
                <w:color w:val="5F6D82"/>
                <w:sz w:val="15"/>
              </w:rPr>
              <w:t>allow only</w:t>
            </w:r>
          </w:p>
        </w:tc>
        <w:tc>
          <w:tcPr>
            <w:tcW w:type="dxa" w:w="1872"/>
            <w:tcMar>
              <w:top w:w="80" w:type="dxa"/>
              <w:start w:w="120" w:type="dxa"/>
              <w:bottom w:w="80" w:type="dxa"/>
              <w:end w:w="120" w:type="dxa"/>
            </w:tcMar>
            <w:vAlign w:val="center"/>
            <w:shd w:fill="F4F6F9" w:val="clear"/>
          </w:tcPr>
          <w:p>
            <w:pPr>
              <w:spacing w:after="40"/>
              <w:jc w:val="center"/>
            </w:pPr>
            <w:r>
              <w:rPr>
                <w:rFonts w:ascii="Calibri" w:hAnsi="Calibri"/>
                <w:b/>
                <w:color w:val="07101F"/>
                <w:sz w:val="16"/>
              </w:rPr>
              <w:t>04</w:t>
            </w:r>
          </w:p>
          <w:p>
            <w:pPr>
              <w:spacing w:before="0" w:after="40"/>
              <w:jc w:val="center"/>
            </w:pPr>
            <w:r>
              <w:rPr>
                <w:rFonts w:ascii="Calibri" w:hAnsi="Calibri"/>
                <w:b/>
                <w:color w:val="17243A"/>
                <w:sz w:val="18"/>
              </w:rPr>
              <w:t>POSTFLIGHT</w:t>
            </w:r>
          </w:p>
          <w:p>
            <w:pPr>
              <w:spacing w:before="0" w:after="0"/>
              <w:jc w:val="center"/>
            </w:pPr>
            <w:r>
              <w:rPr>
                <w:rFonts w:ascii="Calibri" w:hAnsi="Calibri"/>
                <w:color w:val="5F6D82"/>
                <w:sz w:val="15"/>
              </w:rPr>
              <w:t>verify output</w:t>
            </w:r>
          </w:p>
        </w:tc>
        <w:tc>
          <w:tcPr>
            <w:tcW w:type="dxa" w:w="1872"/>
            <w:tcMar>
              <w:top w:w="80" w:type="dxa"/>
              <w:start w:w="120" w:type="dxa"/>
              <w:bottom w:w="80" w:type="dxa"/>
              <w:end w:w="120" w:type="dxa"/>
            </w:tcMar>
            <w:vAlign w:val="center"/>
            <w:shd w:fill="FFF7DF" w:val="clear"/>
          </w:tcPr>
          <w:p>
            <w:pPr>
              <w:spacing w:after="40"/>
              <w:jc w:val="center"/>
            </w:pPr>
            <w:r>
              <w:rPr>
                <w:rFonts w:ascii="Calibri" w:hAnsi="Calibri"/>
                <w:b/>
                <w:color w:val="8A6400"/>
                <w:sz w:val="16"/>
              </w:rPr>
              <w:t>05</w:t>
            </w:r>
          </w:p>
          <w:p>
            <w:pPr>
              <w:spacing w:before="0" w:after="40"/>
              <w:jc w:val="center"/>
            </w:pPr>
            <w:r>
              <w:rPr>
                <w:rFonts w:ascii="Calibri" w:hAnsi="Calibri"/>
                <w:b/>
                <w:color w:val="17243A"/>
                <w:sz w:val="18"/>
              </w:rPr>
              <w:t>PROVE</w:t>
            </w:r>
          </w:p>
          <w:p>
            <w:pPr>
              <w:spacing w:before="0" w:after="0"/>
              <w:jc w:val="center"/>
            </w:pPr>
            <w:r>
              <w:rPr>
                <w:rFonts w:ascii="Calibri" w:hAnsi="Calibri"/>
                <w:color w:val="5F6D82"/>
                <w:sz w:val="15"/>
              </w:rPr>
              <w:t>hosted evidence</w:t>
            </w:r>
          </w:p>
        </w:tc>
      </w:tr>
    </w:tbl>
    <w:p>
      <w:pPr>
        <w:spacing w:after="0"/>
      </w:pPr>
    </w:p>
    <w:p>
      <w:pPr>
        <w:numPr>
          <w:ilvl w:val="0"/>
          <w:numId w:val="1"/>
        </w:numPr>
        <w:spacing w:before="0" w:after="80" w:line="300" w:lineRule="auto"/>
      </w:pPr>
      <w:r>
        <w:rPr>
          <w:rFonts w:ascii="Calibri" w:hAnsi="Calibri"/>
          <w:color w:val="17243A"/>
        </w:rPr>
        <w:t>Northstar runs on the presenter PC; AI CONTROL GRID governance runs on Render.</w:t>
      </w:r>
    </w:p>
    <w:p>
      <w:pPr>
        <w:numPr>
          <w:ilvl w:val="0"/>
          <w:numId w:val="1"/>
        </w:numPr>
        <w:spacing w:before="0" w:after="80" w:line="300" w:lineRule="auto"/>
      </w:pPr>
      <w:r>
        <w:rPr>
          <w:rFonts w:ascii="Calibri" w:hAnsi="Calibri"/>
          <w:color w:val="17243A"/>
        </w:rPr>
        <w:t>The model runs only when Render preflight allows the prompt; Render postflight checks the candidate before release.</w:t>
      </w:r>
    </w:p>
    <w:p>
      <w:pPr>
        <w:numPr>
          <w:ilvl w:val="0"/>
          <w:numId w:val="1"/>
        </w:numPr>
        <w:spacing w:before="0" w:after="80" w:line="300" w:lineRule="auto"/>
      </w:pPr>
      <w:r>
        <w:rPr>
          <w:rFonts w:ascii="Calibri" w:hAnsi="Calibri"/>
          <w:color w:val="17243A"/>
        </w:rPr>
        <w:t>The Firebase console reads the same Render evidence, audit history, and incidents.</w:t>
      </w:r>
    </w:p>
    <w:p>
      <w:pPr>
        <w:spacing w:before="80" w:after="160" w:line="288" w:lineRule="auto"/>
        <w:ind w:left="230" w:right="173"/>
        <w:shd w:fill="EDF9FC" w:val="clear"/>
        <w:pBdr>
          <w:left w:val="single" w:sz="20" w:space="7" w:color="1599B8"/>
        </w:pBdr>
      </w:pPr>
      <w:r>
        <w:rPr>
          <w:rFonts w:ascii="Calibri" w:hAnsi="Calibri"/>
          <w:b/>
          <w:color w:val="1599B8"/>
          <w:sz w:val="19"/>
        </w:rPr>
        <w:t xml:space="preserve">CORE LINE  </w:t>
      </w:r>
      <w:r>
        <w:rPr>
          <w:rFonts w:ascii="Calibri" w:hAnsi="Calibri"/>
          <w:color w:val="17243A"/>
          <w:sz w:val="21"/>
        </w:rPr>
        <w:t>Only the frontline workspace is local. Governance, enforcement, and evidence are live in AI CONTROL GRID.</w:t>
      </w:r>
    </w:p>
    <w:p>
      <w:pPr>
        <w:spacing w:before="0" w:after="0" w:line="20" w:lineRule="exact"/>
      </w:pPr>
      <w:r>
        <w:br w:type="page"/>
      </w:r>
    </w:p>
    <w:p>
      <w:pPr>
        <w:pStyle w:val="Heading1"/>
        <w:keepNext/>
      </w:pPr>
      <w:r>
        <w:rPr>
          <w:rFonts w:ascii="Calibri" w:hAnsi="Calibri"/>
          <w:b/>
          <w:color w:val="356CFF"/>
          <w:sz w:val="32"/>
        </w:rPr>
        <w:t>Connect once, present repeatedly</w:t>
      </w:r>
    </w:p>
    <w:p>
      <w:pPr>
        <w:keepNext/>
        <w:spacing w:before="0" w:after="200"/>
      </w:pPr>
      <w:r>
        <w:rPr>
          <w:rFonts w:ascii="Calibri" w:hAnsi="Calibri"/>
          <w:i/>
          <w:color w:val="5F6D82"/>
          <w:sz w:val="21"/>
        </w:rPr>
        <w:t>Configure the hosted control plane first; keep both credentials server-side.</w:t>
      </w:r>
    </w:p>
    <w:p>
      <w:pPr>
        <w:spacing w:before="80" w:after="160" w:line="288" w:lineRule="auto"/>
        <w:ind w:left="230" w:right="173"/>
        <w:shd w:fill="EAF7F3" w:val="clear"/>
        <w:pBdr>
          <w:left w:val="single" w:sz="20" w:space="7" w:color="177A65"/>
        </w:pBdr>
      </w:pPr>
      <w:r>
        <w:rPr>
          <w:rFonts w:ascii="Calibri" w:hAnsi="Calibri"/>
          <w:b/>
          <w:color w:val="177A65"/>
          <w:sz w:val="19"/>
        </w:rPr>
        <w:t xml:space="preserve">REQUIRED HOSTED SETUP  </w:t>
      </w:r>
      <w:r>
        <w:rPr>
          <w:rFonts w:ascii="Calibri" w:hAnsi="Calibri"/>
          <w:color w:val="17243A"/>
          <w:sz w:val="21"/>
        </w:rPr>
        <w:t>In Registry, select Northstar. In Telemetry Adapter, enable it, bind Northstar, allow the exact gateway label, save, and rotate the ingest key. In Telemetry Policy, apply Customer operations and confirm Runtime blocking is enabled.</w:t>
      </w:r>
    </w:p>
    <w:p>
      <w:pPr>
        <w:pStyle w:val="Heading2"/>
      </w:pPr>
      <w:r>
        <w:t>Secure local setup and launch</w:t>
      </w:r>
    </w:p>
    <w:p>
      <w:pPr>
        <w:keepLines/>
        <w:spacing w:before="60" w:after="160" w:line="276" w:lineRule="auto"/>
        <w:ind w:left="230" w:right="173"/>
        <w:shd w:fill="07101F" w:val="clear"/>
      </w:pPr>
      <w:r>
        <w:rPr>
          <w:rFonts w:ascii="Consolas" w:hAnsi="Consolas"/>
          <w:color w:val="FFFFFF"/>
          <w:sz w:val="18"/>
        </w:rPr>
        <w:t>npm install</w:t>
        <w:br/>
        <w:t>npm run check</w:t>
        <w:br/>
        <w:t>npm run demo:remote:configure   # one-time hidden key prompt</w:t>
        <w:br/>
        <w:t>npm run demo:remote             # check live services, then start Northstar</w:t>
      </w:r>
    </w:p>
    <w:p>
      <w:pPr>
        <w:spacing w:before="80" w:after="160" w:line="288" w:lineRule="auto"/>
        <w:ind w:left="230" w:right="173"/>
        <w:shd w:fill="FFF7DF" w:val="clear"/>
        <w:pBdr>
          <w:left w:val="single" w:sz="20" w:space="7" w:color="8A6400"/>
        </w:pBdr>
      </w:pPr>
      <w:r>
        <w:rPr>
          <w:rFonts w:ascii="Calibri" w:hAnsi="Calibri"/>
          <w:b/>
          <w:color w:val="8A6400"/>
          <w:sz w:val="19"/>
        </w:rPr>
        <w:t xml:space="preserve">WHAT THE LAUNCH PROVES  </w:t>
      </w:r>
      <w:r>
        <w:rPr>
          <w:rFonts w:ascii="Calibri" w:hAnsi="Calibri"/>
          <w:color w:val="17243A"/>
          <w:sz w:val="21"/>
        </w:rPr>
        <w:t>The command checks Render and Firebase, writes one labelled synthetic connection event through the live telemetry adapter, and starts Northstar on port 18080 or 18081 when 18080 is occupied. It never prints a key.</w:t>
      </w:r>
    </w:p>
    <w:p>
      <w:pPr>
        <w:pStyle w:val="Heading2"/>
      </w:pPr>
      <w:r>
        <w:t>Arrange these tabs from left to right</w:t>
      </w:r>
    </w:p>
    <w:tbl>
      <w:tblPr>
        <w:tblW w:type="dxa" w:w="9360"/>
        <w:jc w:val="left"/>
        <w:tblLayout w:type="fixed"/>
        <w:tblLook w:firstColumn="1" w:firstRow="1" w:lastColumn="0" w:lastRow="0" w:noHBand="0" w:noVBand="1" w:val="04A0"/>
        <w:tblInd w:w="120" w:type="dxa"/>
        <w:tblBorders>
          <w:top w:val="single" w:sz="5" w:space="0" w:color="D6DFEC"/>
          <w:left w:val="single" w:sz="5" w:space="0" w:color="D6DFEC"/>
          <w:bottom w:val="single" w:sz="5" w:space="0" w:color="D6DFEC"/>
          <w:right w:val="single" w:sz="5" w:space="0" w:color="D6DFEC"/>
          <w:insideH w:val="single" w:sz="5" w:space="0" w:color="D6DFEC"/>
          <w:insideV w:val="single" w:sz="5" w:space="0" w:color="D6DFEC"/>
        </w:tblBorders>
      </w:tblPr>
      <w:tblGrid>
        <w:gridCol w:w="600"/>
        <w:gridCol w:w="1600"/>
        <w:gridCol w:w="4300"/>
        <w:gridCol w:w="2860"/>
      </w:tblGrid>
      <w:tr>
        <w:trPr>
          <w:tblHeader w:val="true"/>
        </w:trPr>
        <w:tc>
          <w:tcPr>
            <w:tcW w:type="dxa" w:w="600"/>
            <w:tcMar>
              <w:top w:w="80" w:type="dxa"/>
              <w:start w:w="120" w:type="dxa"/>
              <w:bottom w:w="80" w:type="dxa"/>
              <w:end w:w="120" w:type="dxa"/>
            </w:tcMar>
            <w:vAlign w:val="center"/>
            <w:shd w:fill="07101F" w:val="clear"/>
          </w:tcPr>
          <w:p>
            <w:pPr>
              <w:spacing w:before="0" w:after="0" w:line="276" w:lineRule="auto"/>
              <w:jc w:val="center"/>
            </w:pPr>
            <w:r>
              <w:rPr>
                <w:rFonts w:ascii="Calibri" w:hAnsi="Calibri"/>
                <w:b/>
                <w:color w:val="FFFFFF"/>
                <w:sz w:val="17"/>
              </w:rPr>
              <w:t>#</w:t>
            </w:r>
          </w:p>
        </w:tc>
        <w:tc>
          <w:tcPr>
            <w:tcW w:type="dxa" w:w="160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TAB</w:t>
            </w:r>
          </w:p>
        </w:tc>
        <w:tc>
          <w:tcPr>
            <w:tcW w:type="dxa" w:w="430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URL</w:t>
            </w:r>
          </w:p>
        </w:tc>
        <w:tc>
          <w:tcPr>
            <w:tcW w:type="dxa" w:w="286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PURPOSE</w:t>
            </w:r>
          </w:p>
        </w:tc>
      </w:tr>
      <w:tr>
        <w:trPr>
          <w:cantSplit/>
        </w:trPr>
        <w:tc>
          <w:tcPr>
            <w:tcW w:type="dxa" w:w="600"/>
          </w:tcPr>
          <w:p>
            <w:pPr>
              <w:spacing w:before="0" w:after="0" w:line="276" w:lineRule="auto"/>
              <w:jc w:val="center"/>
            </w:pPr>
            <w:r>
              <w:rPr>
                <w:rFonts w:ascii="Calibri" w:hAnsi="Calibri"/>
                <w:b w:val="0"/>
                <w:color w:val="17243A"/>
                <w:sz w:val="18"/>
              </w:rPr>
              <w:t>1</w:t>
            </w:r>
          </w:p>
        </w:tc>
        <w:tc>
          <w:tcPr>
            <w:tcW w:type="dxa" w:w="1600"/>
          </w:tcPr>
          <w:p>
            <w:pPr>
              <w:spacing w:before="0" w:after="0" w:line="276" w:lineRule="auto"/>
              <w:jc w:val="left"/>
            </w:pPr>
            <w:r>
              <w:rPr>
                <w:rFonts w:ascii="Calibri" w:hAnsi="Calibri"/>
                <w:b w:val="0"/>
                <w:color w:val="17243A"/>
                <w:sz w:val="18"/>
              </w:rPr>
              <w:t>Northstar local</w:t>
            </w:r>
          </w:p>
        </w:tc>
        <w:tc>
          <w:tcPr>
            <w:tcW w:type="dxa" w:w="4300"/>
          </w:tcPr>
          <w:p>
            <w:pPr>
              <w:spacing w:before="0" w:after="0" w:line="276" w:lineRule="auto"/>
              <w:jc w:val="left"/>
            </w:pPr>
            <w:r>
              <w:rPr>
                <w:rFonts w:ascii="Calibri" w:hAnsi="Calibri"/>
                <w:b w:val="0"/>
                <w:color w:val="17243A"/>
                <w:sz w:val="17"/>
              </w:rPr>
              <w:t>http://127.0.0.1:18080/</w:t>
            </w:r>
          </w:p>
        </w:tc>
        <w:tc>
          <w:tcPr>
            <w:tcW w:type="dxa" w:w="2860"/>
          </w:tcPr>
          <w:p>
            <w:pPr>
              <w:spacing w:before="0" w:after="0" w:line="276" w:lineRule="auto"/>
              <w:jc w:val="left"/>
            </w:pPr>
            <w:r>
              <w:rPr>
                <w:rFonts w:ascii="Calibri" w:hAnsi="Calibri"/>
                <w:b w:val="0"/>
                <w:color w:val="17243A"/>
                <w:sz w:val="18"/>
              </w:rPr>
              <w:t>Run the safe and blocked requests from the presenter PC.</w:t>
            </w:r>
          </w:p>
        </w:tc>
      </w:tr>
      <w:tr>
        <w:trPr>
          <w:cantSplit/>
        </w:trPr>
        <w:tc>
          <w:tcPr>
            <w:tcW w:type="dxa" w:w="600"/>
            <w:shd w:fill="F4F6F9" w:val="clear"/>
          </w:tcPr>
          <w:p>
            <w:pPr>
              <w:spacing w:before="0" w:after="0" w:line="276" w:lineRule="auto"/>
              <w:jc w:val="center"/>
            </w:pPr>
            <w:r>
              <w:rPr>
                <w:rFonts w:ascii="Calibri" w:hAnsi="Calibri"/>
                <w:b w:val="0"/>
                <w:color w:val="17243A"/>
                <w:sz w:val="18"/>
              </w:rPr>
              <w:t>2</w:t>
            </w:r>
          </w:p>
        </w:tc>
        <w:tc>
          <w:tcPr>
            <w:tcW w:type="dxa" w:w="1600"/>
            <w:shd w:fill="F4F6F9" w:val="clear"/>
          </w:tcPr>
          <w:p>
            <w:pPr>
              <w:spacing w:before="0" w:after="0" w:line="276" w:lineRule="auto"/>
              <w:jc w:val="left"/>
            </w:pPr>
            <w:r>
              <w:rPr>
                <w:rFonts w:ascii="Calibri" w:hAnsi="Calibri"/>
                <w:b w:val="0"/>
                <w:color w:val="17243A"/>
                <w:sz w:val="18"/>
              </w:rPr>
              <w:t>Runtime</w:t>
            </w:r>
          </w:p>
        </w:tc>
        <w:tc>
          <w:tcPr>
            <w:tcW w:type="dxa" w:w="4300"/>
            <w:shd w:fill="F4F6F9" w:val="clear"/>
          </w:tcPr>
          <w:p>
            <w:pPr>
              <w:spacing w:before="0" w:after="0" w:line="276" w:lineRule="auto"/>
              <w:jc w:val="left"/>
            </w:pPr>
            <w:r>
              <w:rPr>
                <w:rFonts w:ascii="Calibri" w:hAnsi="Calibri"/>
                <w:b w:val="0"/>
                <w:color w:val="17243A"/>
                <w:sz w:val="17"/>
              </w:rPr>
              <w:t>https://ai-control-tower-d9854.web.app/runtime-monitoring</w:t>
            </w:r>
          </w:p>
        </w:tc>
        <w:tc>
          <w:tcPr>
            <w:tcW w:type="dxa" w:w="2860"/>
            <w:shd w:fill="F4F6F9" w:val="clear"/>
          </w:tcPr>
          <w:p>
            <w:pPr>
              <w:spacing w:before="0" w:after="0" w:line="276" w:lineRule="auto"/>
              <w:jc w:val="left"/>
            </w:pPr>
            <w:r>
              <w:rPr>
                <w:rFonts w:ascii="Calibri" w:hAnsi="Calibri"/>
                <w:b w:val="0"/>
                <w:color w:val="17243A"/>
                <w:sz w:val="18"/>
              </w:rPr>
              <w:t>Show Render preflight and postflight evidence.</w:t>
            </w:r>
          </w:p>
        </w:tc>
      </w:tr>
      <w:tr>
        <w:trPr>
          <w:cantSplit/>
        </w:trPr>
        <w:tc>
          <w:tcPr>
            <w:tcW w:type="dxa" w:w="600"/>
          </w:tcPr>
          <w:p>
            <w:pPr>
              <w:spacing w:before="0" w:after="0" w:line="276" w:lineRule="auto"/>
              <w:jc w:val="center"/>
            </w:pPr>
            <w:r>
              <w:rPr>
                <w:rFonts w:ascii="Calibri" w:hAnsi="Calibri"/>
                <w:b w:val="0"/>
                <w:color w:val="17243A"/>
                <w:sz w:val="18"/>
              </w:rPr>
              <w:t>3</w:t>
            </w:r>
          </w:p>
        </w:tc>
        <w:tc>
          <w:tcPr>
            <w:tcW w:type="dxa" w:w="1600"/>
          </w:tcPr>
          <w:p>
            <w:pPr>
              <w:spacing w:before="0" w:after="0" w:line="276" w:lineRule="auto"/>
              <w:jc w:val="left"/>
            </w:pPr>
            <w:r>
              <w:rPr>
                <w:rFonts w:ascii="Calibri" w:hAnsi="Calibri"/>
                <w:b w:val="0"/>
                <w:color w:val="17243A"/>
                <w:sz w:val="18"/>
              </w:rPr>
              <w:t>Audit log</w:t>
            </w:r>
          </w:p>
        </w:tc>
        <w:tc>
          <w:tcPr>
            <w:tcW w:type="dxa" w:w="4300"/>
          </w:tcPr>
          <w:p>
            <w:pPr>
              <w:spacing w:before="0" w:after="0" w:line="276" w:lineRule="auto"/>
              <w:jc w:val="left"/>
            </w:pPr>
            <w:r>
              <w:rPr>
                <w:rFonts w:ascii="Calibri" w:hAnsi="Calibri"/>
                <w:b w:val="0"/>
                <w:color w:val="17243A"/>
                <w:sz w:val="17"/>
              </w:rPr>
              <w:t>https://ai-control-tower-d9854.web.app/audit-log</w:t>
            </w:r>
          </w:p>
        </w:tc>
        <w:tc>
          <w:tcPr>
            <w:tcW w:type="dxa" w:w="2860"/>
          </w:tcPr>
          <w:p>
            <w:pPr>
              <w:spacing w:before="0" w:after="0" w:line="276" w:lineRule="auto"/>
              <w:jc w:val="left"/>
            </w:pPr>
            <w:r>
              <w:rPr>
                <w:rFonts w:ascii="Calibri" w:hAnsi="Calibri"/>
                <w:b w:val="0"/>
                <w:color w:val="17243A"/>
                <w:sz w:val="18"/>
              </w:rPr>
              <w:t>Show the hosted operational record.</w:t>
            </w:r>
          </w:p>
        </w:tc>
      </w:tr>
      <w:tr>
        <w:trPr>
          <w:cantSplit/>
        </w:trPr>
        <w:tc>
          <w:tcPr>
            <w:tcW w:type="dxa" w:w="600"/>
            <w:shd w:fill="F4F6F9" w:val="clear"/>
          </w:tcPr>
          <w:p>
            <w:pPr>
              <w:spacing w:before="0" w:after="0" w:line="276" w:lineRule="auto"/>
              <w:jc w:val="center"/>
            </w:pPr>
            <w:r>
              <w:rPr>
                <w:rFonts w:ascii="Calibri" w:hAnsi="Calibri"/>
                <w:b w:val="0"/>
                <w:color w:val="17243A"/>
                <w:sz w:val="18"/>
              </w:rPr>
              <w:t>4</w:t>
            </w:r>
          </w:p>
        </w:tc>
        <w:tc>
          <w:tcPr>
            <w:tcW w:type="dxa" w:w="1600"/>
            <w:shd w:fill="F4F6F9" w:val="clear"/>
          </w:tcPr>
          <w:p>
            <w:pPr>
              <w:spacing w:before="0" w:after="0" w:line="276" w:lineRule="auto"/>
              <w:jc w:val="left"/>
            </w:pPr>
            <w:r>
              <w:rPr>
                <w:rFonts w:ascii="Calibri" w:hAnsi="Calibri"/>
                <w:b w:val="0"/>
                <w:color w:val="17243A"/>
                <w:sz w:val="18"/>
              </w:rPr>
              <w:t>Incidents</w:t>
            </w:r>
          </w:p>
        </w:tc>
        <w:tc>
          <w:tcPr>
            <w:tcW w:type="dxa" w:w="4300"/>
            <w:shd w:fill="F4F6F9" w:val="clear"/>
          </w:tcPr>
          <w:p>
            <w:pPr>
              <w:spacing w:before="0" w:after="0" w:line="276" w:lineRule="auto"/>
              <w:jc w:val="left"/>
            </w:pPr>
            <w:r>
              <w:rPr>
                <w:rFonts w:ascii="Calibri" w:hAnsi="Calibri"/>
                <w:b w:val="0"/>
                <w:color w:val="17243A"/>
                <w:sz w:val="17"/>
              </w:rPr>
              <w:t>https://ai-control-tower-d9854.web.app/incidents</w:t>
            </w:r>
          </w:p>
        </w:tc>
        <w:tc>
          <w:tcPr>
            <w:tcW w:type="dxa" w:w="2860"/>
            <w:shd w:fill="F4F6F9" w:val="clear"/>
          </w:tcPr>
          <w:p>
            <w:pPr>
              <w:spacing w:before="0" w:after="0" w:line="276" w:lineRule="auto"/>
              <w:jc w:val="left"/>
            </w:pPr>
            <w:r>
              <w:rPr>
                <w:rFonts w:ascii="Calibri" w:hAnsi="Calibri"/>
                <w:b w:val="0"/>
                <w:color w:val="17243A"/>
                <w:sz w:val="18"/>
              </w:rPr>
              <w:t>Show the owned response created by the blocked turn.</w:t>
            </w:r>
          </w:p>
        </w:tc>
      </w:tr>
    </w:tbl>
    <w:p>
      <w:pPr>
        <w:pStyle w:val="Heading2"/>
      </w:pPr>
      <w:r>
        <w:t>Go / no-go checklist</w:t>
      </w:r>
    </w:p>
    <w:p>
      <w:pPr>
        <w:numPr>
          <w:ilvl w:val="0"/>
          <w:numId w:val="1"/>
        </w:numPr>
        <w:spacing w:before="0" w:after="80" w:line="300" w:lineRule="auto"/>
      </w:pPr>
      <w:r>
        <w:rPr>
          <w:rFonts w:ascii="Calibri" w:hAnsi="Calibri"/>
          <w:color w:val="17243A"/>
        </w:rPr>
        <w:t>Confirm the startup connection event appears in hosted Runtime Monitoring.</w:t>
      </w:r>
    </w:p>
    <w:p>
      <w:pPr>
        <w:numPr>
          <w:ilvl w:val="0"/>
          <w:numId w:val="1"/>
        </w:numPr>
        <w:spacing w:before="0" w:after="80" w:line="300" w:lineRule="auto"/>
      </w:pPr>
      <w:r>
        <w:rPr>
          <w:rFonts w:ascii="Calibri" w:hAnsi="Calibri"/>
          <w:color w:val="17243A"/>
        </w:rPr>
        <w:t>Confirm Northstar's hosted Telemetry Policy says Runtime blocking is enabled.</w:t>
      </w:r>
    </w:p>
    <w:p>
      <w:pPr>
        <w:numPr>
          <w:ilvl w:val="0"/>
          <w:numId w:val="1"/>
        </w:numPr>
        <w:spacing w:before="0" w:after="80" w:line="300" w:lineRule="auto"/>
      </w:pPr>
      <w:r>
        <w:rPr>
          <w:rFonts w:ascii="Calibri" w:hAnsi="Calibri"/>
          <w:color w:val="17243A"/>
        </w:rPr>
        <w:t>Run the safe and blocked prompts once using synthetic data only.</w:t>
      </w:r>
    </w:p>
    <w:p>
      <w:pPr>
        <w:numPr>
          <w:ilvl w:val="0"/>
          <w:numId w:val="1"/>
        </w:numPr>
        <w:spacing w:before="0" w:after="80" w:line="300" w:lineRule="auto"/>
      </w:pPr>
      <w:r>
        <w:rPr>
          <w:rFonts w:ascii="Calibri" w:hAnsi="Calibri"/>
          <w:color w:val="17243A"/>
        </w:rPr>
        <w:t>Confirm the model mode shown by Northstar is genuinely live before describing it as live.</w:t>
      </w:r>
    </w:p>
    <w:p>
      <w:pPr>
        <w:numPr>
          <w:ilvl w:val="0"/>
          <w:numId w:val="1"/>
        </w:numPr>
        <w:spacing w:before="0" w:after="80" w:line="300" w:lineRule="auto"/>
      </w:pPr>
      <w:r>
        <w:rPr>
          <w:rFonts w:ascii="Calibri" w:hAnsi="Calibri"/>
          <w:color w:val="17243A"/>
        </w:rPr>
        <w:t>Set browser zoom to 100%, silence notifications, connect power, and close credential-bearing surfaces.</w:t>
      </w:r>
    </w:p>
    <w:p>
      <w:pPr>
        <w:spacing w:before="0" w:after="0" w:line="20" w:lineRule="exact"/>
      </w:pPr>
      <w:r>
        <w:br w:type="page"/>
      </w:r>
    </w:p>
    <w:p>
      <w:pPr>
        <w:pStyle w:val="Heading1"/>
        <w:keepNext/>
      </w:pPr>
      <w:r>
        <w:rPr>
          <w:rFonts w:ascii="Calibri" w:hAnsi="Calibri"/>
          <w:b/>
          <w:color w:val="356CFF"/>
          <w:sz w:val="32"/>
        </w:rPr>
        <w:t>The seven-minute run of show</w:t>
      </w:r>
    </w:p>
    <w:p>
      <w:pPr>
        <w:keepNext/>
        <w:spacing w:before="0" w:after="200"/>
      </w:pPr>
      <w:r>
        <w:rPr>
          <w:rFonts w:ascii="Calibri" w:hAnsi="Calibri"/>
          <w:i/>
          <w:color w:val="5F6D82"/>
          <w:sz w:val="21"/>
        </w:rPr>
        <w:t>Narrate the system boundary before each click.</w:t>
      </w:r>
    </w:p>
    <w:tbl>
      <w:tblPr>
        <w:tblW w:type="dxa" w:w="9360"/>
        <w:jc w:val="left"/>
        <w:tblLayout w:type="fixed"/>
        <w:tblLook w:firstColumn="1" w:firstRow="1" w:lastColumn="0" w:lastRow="0" w:noHBand="0" w:noVBand="1" w:val="04A0"/>
        <w:tblInd w:w="120" w:type="dxa"/>
        <w:tblBorders>
          <w:top w:val="single" w:sz="5" w:space="0" w:color="D6DFEC"/>
          <w:left w:val="single" w:sz="5" w:space="0" w:color="D6DFEC"/>
          <w:bottom w:val="single" w:sz="5" w:space="0" w:color="D6DFEC"/>
          <w:right w:val="single" w:sz="5" w:space="0" w:color="D6DFEC"/>
          <w:insideH w:val="single" w:sz="5" w:space="0" w:color="D6DFEC"/>
          <w:insideV w:val="single" w:sz="5" w:space="0" w:color="D6DFEC"/>
        </w:tblBorders>
      </w:tblPr>
      <w:tblGrid>
        <w:gridCol w:w="900"/>
        <w:gridCol w:w="1700"/>
        <w:gridCol w:w="2500"/>
        <w:gridCol w:w="4260"/>
      </w:tblGrid>
      <w:tr>
        <w:trPr>
          <w:tblHeader w:val="true"/>
        </w:trPr>
        <w:tc>
          <w:tcPr>
            <w:tcW w:type="dxa" w:w="90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TIME</w:t>
            </w:r>
          </w:p>
        </w:tc>
        <w:tc>
          <w:tcPr>
            <w:tcW w:type="dxa" w:w="170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SCREEN</w:t>
            </w:r>
          </w:p>
        </w:tc>
        <w:tc>
          <w:tcPr>
            <w:tcW w:type="dxa" w:w="250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DO</w:t>
            </w:r>
          </w:p>
        </w:tc>
        <w:tc>
          <w:tcPr>
            <w:tcW w:type="dxa" w:w="426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SAY / PROVE</w:t>
            </w:r>
          </w:p>
        </w:tc>
      </w:tr>
      <w:tr>
        <w:trPr>
          <w:cantSplit/>
        </w:trPr>
        <w:tc>
          <w:tcPr>
            <w:tcW w:type="dxa" w:w="900"/>
          </w:tcPr>
          <w:p>
            <w:pPr>
              <w:spacing w:before="0" w:after="0" w:line="276" w:lineRule="auto"/>
              <w:jc w:val="left"/>
            </w:pPr>
            <w:r>
              <w:rPr>
                <w:rFonts w:ascii="Calibri" w:hAnsi="Calibri"/>
                <w:b/>
                <w:color w:val="17243A"/>
                <w:sz w:val="17"/>
              </w:rPr>
              <w:t>0:00-0:40</w:t>
            </w:r>
          </w:p>
        </w:tc>
        <w:tc>
          <w:tcPr>
            <w:tcW w:type="dxa" w:w="1700"/>
          </w:tcPr>
          <w:p>
            <w:pPr>
              <w:spacing w:before="0" w:after="0" w:line="276" w:lineRule="auto"/>
              <w:jc w:val="left"/>
            </w:pPr>
            <w:r>
              <w:rPr>
                <w:rFonts w:ascii="Calibri" w:hAnsi="Calibri"/>
                <w:b w:val="0"/>
                <w:color w:val="17243A"/>
                <w:sz w:val="17"/>
              </w:rPr>
              <w:t>Northstar</w:t>
            </w:r>
          </w:p>
        </w:tc>
        <w:tc>
          <w:tcPr>
            <w:tcW w:type="dxa" w:w="2500"/>
          </w:tcPr>
          <w:p>
            <w:pPr>
              <w:spacing w:before="0" w:after="0" w:line="276" w:lineRule="auto"/>
              <w:jc w:val="left"/>
            </w:pPr>
            <w:r>
              <w:rPr>
                <w:rFonts w:ascii="Calibri" w:hAnsi="Calibri"/>
                <w:b w:val="0"/>
                <w:color w:val="17243A"/>
                <w:sz w:val="17"/>
              </w:rPr>
              <w:t>Point to the Live control path rail; disclose synthetic data.</w:t>
            </w:r>
          </w:p>
        </w:tc>
        <w:tc>
          <w:tcPr>
            <w:tcW w:type="dxa" w:w="4260"/>
          </w:tcPr>
          <w:p>
            <w:pPr>
              <w:spacing w:before="0" w:after="0" w:line="276" w:lineRule="auto"/>
              <w:jc w:val="left"/>
            </w:pPr>
            <w:r>
              <w:rPr>
                <w:rFonts w:ascii="Calibri" w:hAnsi="Calibri"/>
                <w:b w:val="0"/>
                <w:color w:val="17243A"/>
                <w:sz w:val="17"/>
              </w:rPr>
              <w:t>Only Northstar is local. Governance and evidence are live on Render.</w:t>
            </w:r>
          </w:p>
        </w:tc>
      </w:tr>
      <w:tr>
        <w:trPr>
          <w:cantSplit/>
        </w:trPr>
        <w:tc>
          <w:tcPr>
            <w:tcW w:type="dxa" w:w="900"/>
            <w:shd w:fill="F4F6F9" w:val="clear"/>
          </w:tcPr>
          <w:p>
            <w:pPr>
              <w:spacing w:before="0" w:after="0" w:line="276" w:lineRule="auto"/>
              <w:jc w:val="left"/>
            </w:pPr>
            <w:r>
              <w:rPr>
                <w:rFonts w:ascii="Calibri" w:hAnsi="Calibri"/>
                <w:b/>
                <w:color w:val="17243A"/>
                <w:sz w:val="17"/>
              </w:rPr>
              <w:t>0:40-1:20</w:t>
            </w:r>
          </w:p>
        </w:tc>
        <w:tc>
          <w:tcPr>
            <w:tcW w:type="dxa" w:w="1700"/>
            <w:shd w:fill="F4F6F9" w:val="clear"/>
          </w:tcPr>
          <w:p>
            <w:pPr>
              <w:spacing w:before="0" w:after="0" w:line="276" w:lineRule="auto"/>
              <w:jc w:val="left"/>
            </w:pPr>
            <w:r>
              <w:rPr>
                <w:rFonts w:ascii="Calibri" w:hAnsi="Calibri"/>
                <w:b w:val="0"/>
                <w:color w:val="17243A"/>
                <w:sz w:val="17"/>
              </w:rPr>
              <w:t>Runtime</w:t>
            </w:r>
          </w:p>
        </w:tc>
        <w:tc>
          <w:tcPr>
            <w:tcW w:type="dxa" w:w="2500"/>
            <w:shd w:fill="F4F6F9" w:val="clear"/>
          </w:tcPr>
          <w:p>
            <w:pPr>
              <w:spacing w:before="0" w:after="0" w:line="276" w:lineRule="auto"/>
              <w:jc w:val="left"/>
            </w:pPr>
            <w:r>
              <w:rPr>
                <w:rFonts w:ascii="Calibri" w:hAnsi="Calibri"/>
                <w:b w:val="0"/>
                <w:color w:val="17243A"/>
                <w:sz w:val="17"/>
              </w:rPr>
              <w:t>Show the synthetic startup connection event.</w:t>
            </w:r>
          </w:p>
        </w:tc>
        <w:tc>
          <w:tcPr>
            <w:tcW w:type="dxa" w:w="4260"/>
            <w:shd w:fill="F4F6F9" w:val="clear"/>
          </w:tcPr>
          <w:p>
            <w:pPr>
              <w:spacing w:before="0" w:after="0" w:line="276" w:lineRule="auto"/>
              <w:jc w:val="left"/>
            </w:pPr>
            <w:r>
              <w:rPr>
                <w:rFonts w:ascii="Calibri" w:hAnsi="Calibri"/>
                <w:b w:val="0"/>
                <w:color w:val="17243A"/>
                <w:sz w:val="17"/>
              </w:rPr>
              <w:t>The local runtime authenticated to the live governance service before the scenario.</w:t>
            </w:r>
          </w:p>
        </w:tc>
      </w:tr>
      <w:tr>
        <w:trPr>
          <w:cantSplit/>
        </w:trPr>
        <w:tc>
          <w:tcPr>
            <w:tcW w:type="dxa" w:w="900"/>
          </w:tcPr>
          <w:p>
            <w:pPr>
              <w:spacing w:before="0" w:after="0" w:line="276" w:lineRule="auto"/>
              <w:jc w:val="left"/>
            </w:pPr>
            <w:r>
              <w:rPr>
                <w:rFonts w:ascii="Calibri" w:hAnsi="Calibri"/>
                <w:b/>
                <w:color w:val="17243A"/>
                <w:sz w:val="17"/>
              </w:rPr>
              <w:t>1:20-2:50</w:t>
            </w:r>
          </w:p>
        </w:tc>
        <w:tc>
          <w:tcPr>
            <w:tcW w:type="dxa" w:w="1700"/>
          </w:tcPr>
          <w:p>
            <w:pPr>
              <w:spacing w:before="0" w:after="0" w:line="276" w:lineRule="auto"/>
              <w:jc w:val="left"/>
            </w:pPr>
            <w:r>
              <w:rPr>
                <w:rFonts w:ascii="Calibri" w:hAnsi="Calibri"/>
                <w:b w:val="0"/>
                <w:color w:val="17243A"/>
                <w:sz w:val="17"/>
              </w:rPr>
              <w:t>Safe request</w:t>
            </w:r>
          </w:p>
        </w:tc>
        <w:tc>
          <w:tcPr>
            <w:tcW w:type="dxa" w:w="2500"/>
          </w:tcPr>
          <w:p>
            <w:pPr>
              <w:spacing w:before="0" w:after="0" w:line="276" w:lineRule="auto"/>
              <w:jc w:val="left"/>
            </w:pPr>
            <w:r>
              <w:rPr>
                <w:rFonts w:ascii="Calibri" w:hAnsi="Calibri"/>
                <w:b w:val="0"/>
                <w:color w:val="17243A"/>
                <w:sz w:val="17"/>
              </w:rPr>
              <w:t>Run the green hardship-response prompt.</w:t>
            </w:r>
          </w:p>
        </w:tc>
        <w:tc>
          <w:tcPr>
            <w:tcW w:type="dxa" w:w="4260"/>
          </w:tcPr>
          <w:p>
            <w:pPr>
              <w:spacing w:before="0" w:after="0" w:line="276" w:lineRule="auto"/>
              <w:jc w:val="left"/>
            </w:pPr>
            <w:r>
              <w:rPr>
                <w:rFonts w:ascii="Calibri" w:hAnsi="Calibri"/>
                <w:b w:val="0"/>
                <w:color w:val="17243A"/>
                <w:sz w:val="17"/>
              </w:rPr>
              <w:t>Render allows preflight, the model runs, and Render verifies the candidate before release.</w:t>
            </w:r>
          </w:p>
        </w:tc>
      </w:tr>
      <w:tr>
        <w:trPr>
          <w:cantSplit/>
        </w:trPr>
        <w:tc>
          <w:tcPr>
            <w:tcW w:type="dxa" w:w="900"/>
            <w:shd w:fill="F4F6F9" w:val="clear"/>
          </w:tcPr>
          <w:p>
            <w:pPr>
              <w:spacing w:before="0" w:after="0" w:line="276" w:lineRule="auto"/>
              <w:jc w:val="left"/>
            </w:pPr>
            <w:r>
              <w:rPr>
                <w:rFonts w:ascii="Calibri" w:hAnsi="Calibri"/>
                <w:b/>
                <w:color w:val="17243A"/>
                <w:sz w:val="17"/>
              </w:rPr>
              <w:t>2:50-3:40</w:t>
            </w:r>
          </w:p>
        </w:tc>
        <w:tc>
          <w:tcPr>
            <w:tcW w:type="dxa" w:w="1700"/>
            <w:shd w:fill="F4F6F9" w:val="clear"/>
          </w:tcPr>
          <w:p>
            <w:pPr>
              <w:spacing w:before="0" w:after="0" w:line="276" w:lineRule="auto"/>
              <w:jc w:val="left"/>
            </w:pPr>
            <w:r>
              <w:rPr>
                <w:rFonts w:ascii="Calibri" w:hAnsi="Calibri"/>
                <w:b w:val="0"/>
                <w:color w:val="17243A"/>
                <w:sz w:val="17"/>
              </w:rPr>
              <w:t>Runtime + audit</w:t>
            </w:r>
          </w:p>
        </w:tc>
        <w:tc>
          <w:tcPr>
            <w:tcW w:type="dxa" w:w="2500"/>
            <w:shd w:fill="F4F6F9" w:val="clear"/>
          </w:tcPr>
          <w:p>
            <w:pPr>
              <w:spacing w:before="0" w:after="0" w:line="276" w:lineRule="auto"/>
              <w:jc w:val="left"/>
            </w:pPr>
            <w:r>
              <w:rPr>
                <w:rFonts w:ascii="Calibri" w:hAnsi="Calibri"/>
                <w:b w:val="0"/>
                <w:color w:val="17243A"/>
                <w:sz w:val="17"/>
              </w:rPr>
              <w:t>Match the hosted evidence to the Northstar turn.</w:t>
            </w:r>
          </w:p>
        </w:tc>
        <w:tc>
          <w:tcPr>
            <w:tcW w:type="dxa" w:w="4260"/>
            <w:shd w:fill="F4F6F9" w:val="clear"/>
          </w:tcPr>
          <w:p>
            <w:pPr>
              <w:spacing w:before="0" w:after="0" w:line="276" w:lineRule="auto"/>
              <w:jc w:val="left"/>
            </w:pPr>
            <w:r>
              <w:rPr>
                <w:rFonts w:ascii="Calibri" w:hAnsi="Calibri"/>
                <w:b w:val="0"/>
                <w:color w:val="17243A"/>
                <w:sz w:val="17"/>
              </w:rPr>
              <w:t>One frontline action updated runtime oversight and audit history.</w:t>
            </w:r>
          </w:p>
        </w:tc>
      </w:tr>
      <w:tr>
        <w:trPr>
          <w:cantSplit/>
        </w:trPr>
        <w:tc>
          <w:tcPr>
            <w:tcW w:type="dxa" w:w="900"/>
          </w:tcPr>
          <w:p>
            <w:pPr>
              <w:spacing w:before="0" w:after="0" w:line="276" w:lineRule="auto"/>
              <w:jc w:val="left"/>
            </w:pPr>
            <w:r>
              <w:rPr>
                <w:rFonts w:ascii="Calibri" w:hAnsi="Calibri"/>
                <w:b/>
                <w:color w:val="17243A"/>
                <w:sz w:val="17"/>
              </w:rPr>
              <w:t>3:40-5:20</w:t>
            </w:r>
          </w:p>
        </w:tc>
        <w:tc>
          <w:tcPr>
            <w:tcW w:type="dxa" w:w="1700"/>
          </w:tcPr>
          <w:p>
            <w:pPr>
              <w:spacing w:before="0" w:after="0" w:line="276" w:lineRule="auto"/>
              <w:jc w:val="left"/>
            </w:pPr>
            <w:r>
              <w:rPr>
                <w:rFonts w:ascii="Calibri" w:hAnsi="Calibri"/>
                <w:b w:val="0"/>
                <w:color w:val="17243A"/>
                <w:sz w:val="17"/>
              </w:rPr>
              <w:t>Blocked request</w:t>
            </w:r>
          </w:p>
        </w:tc>
        <w:tc>
          <w:tcPr>
            <w:tcW w:type="dxa" w:w="2500"/>
          </w:tcPr>
          <w:p>
            <w:pPr>
              <w:spacing w:before="0" w:after="0" w:line="276" w:lineRule="auto"/>
              <w:jc w:val="left"/>
            </w:pPr>
            <w:r>
              <w:rPr>
                <w:rFonts w:ascii="Calibri" w:hAnsi="Calibri"/>
                <w:b w:val="0"/>
                <w:color w:val="17243A"/>
                <w:sz w:val="17"/>
              </w:rPr>
              <w:t>Run the red PII/internal-script prompt.</w:t>
            </w:r>
          </w:p>
        </w:tc>
        <w:tc>
          <w:tcPr>
            <w:tcW w:type="dxa" w:w="4260"/>
          </w:tcPr>
          <w:p>
            <w:pPr>
              <w:spacing w:before="0" w:after="0" w:line="276" w:lineRule="auto"/>
              <w:jc w:val="left"/>
            </w:pPr>
            <w:r>
              <w:rPr>
                <w:rFonts w:ascii="Calibri" w:hAnsi="Calibri"/>
                <w:b w:val="0"/>
                <w:color w:val="17243A"/>
                <w:sz w:val="17"/>
              </w:rPr>
              <w:t>Render blocks at input. The model is skipped and nothing unsafe is released.</w:t>
            </w:r>
          </w:p>
        </w:tc>
      </w:tr>
      <w:tr>
        <w:trPr>
          <w:cantSplit/>
        </w:trPr>
        <w:tc>
          <w:tcPr>
            <w:tcW w:type="dxa" w:w="900"/>
            <w:shd w:fill="F4F6F9" w:val="clear"/>
          </w:tcPr>
          <w:p>
            <w:pPr>
              <w:spacing w:before="0" w:after="0" w:line="276" w:lineRule="auto"/>
              <w:jc w:val="left"/>
            </w:pPr>
            <w:r>
              <w:rPr>
                <w:rFonts w:ascii="Calibri" w:hAnsi="Calibri"/>
                <w:b/>
                <w:color w:val="17243A"/>
                <w:sz w:val="17"/>
              </w:rPr>
              <w:t>5:20-6:20</w:t>
            </w:r>
          </w:p>
        </w:tc>
        <w:tc>
          <w:tcPr>
            <w:tcW w:type="dxa" w:w="1700"/>
            <w:shd w:fill="F4F6F9" w:val="clear"/>
          </w:tcPr>
          <w:p>
            <w:pPr>
              <w:spacing w:before="0" w:after="0" w:line="276" w:lineRule="auto"/>
              <w:jc w:val="left"/>
            </w:pPr>
            <w:r>
              <w:rPr>
                <w:rFonts w:ascii="Calibri" w:hAnsi="Calibri"/>
                <w:b w:val="0"/>
                <w:color w:val="17243A"/>
                <w:sz w:val="17"/>
              </w:rPr>
              <w:t>Incidents</w:t>
            </w:r>
          </w:p>
        </w:tc>
        <w:tc>
          <w:tcPr>
            <w:tcW w:type="dxa" w:w="2500"/>
            <w:shd w:fill="F4F6F9" w:val="clear"/>
          </w:tcPr>
          <w:p>
            <w:pPr>
              <w:spacing w:before="0" w:after="0" w:line="276" w:lineRule="auto"/>
              <w:jc w:val="left"/>
            </w:pPr>
            <w:r>
              <w:rPr>
                <w:rFonts w:ascii="Calibri" w:hAnsi="Calibri"/>
                <w:b w:val="0"/>
                <w:color w:val="17243A"/>
                <w:sz w:val="17"/>
              </w:rPr>
              <w:t>Show the new hosted incident and its evidence link.</w:t>
            </w:r>
          </w:p>
        </w:tc>
        <w:tc>
          <w:tcPr>
            <w:tcW w:type="dxa" w:w="4260"/>
            <w:shd w:fill="F4F6F9" w:val="clear"/>
          </w:tcPr>
          <w:p>
            <w:pPr>
              <w:spacing w:before="0" w:after="0" w:line="276" w:lineRule="auto"/>
              <w:jc w:val="left"/>
            </w:pPr>
            <w:r>
              <w:rPr>
                <w:rFonts w:ascii="Calibri" w:hAnsi="Calibri"/>
                <w:b w:val="0"/>
                <w:color w:val="17243A"/>
                <w:sz w:val="17"/>
              </w:rPr>
              <w:t>The enforced block becomes owned operational follow-up.</w:t>
            </w:r>
          </w:p>
        </w:tc>
      </w:tr>
      <w:tr>
        <w:trPr>
          <w:cantSplit/>
        </w:trPr>
        <w:tc>
          <w:tcPr>
            <w:tcW w:type="dxa" w:w="900"/>
          </w:tcPr>
          <w:p>
            <w:pPr>
              <w:spacing w:before="0" w:after="0" w:line="276" w:lineRule="auto"/>
              <w:jc w:val="left"/>
            </w:pPr>
            <w:r>
              <w:rPr>
                <w:rFonts w:ascii="Calibri" w:hAnsi="Calibri"/>
                <w:b/>
                <w:color w:val="17243A"/>
                <w:sz w:val="17"/>
              </w:rPr>
              <w:t>6:20-7:00</w:t>
            </w:r>
          </w:p>
        </w:tc>
        <w:tc>
          <w:tcPr>
            <w:tcW w:type="dxa" w:w="1700"/>
          </w:tcPr>
          <w:p>
            <w:pPr>
              <w:spacing w:before="0" w:after="0" w:line="276" w:lineRule="auto"/>
              <w:jc w:val="left"/>
            </w:pPr>
            <w:r>
              <w:rPr>
                <w:rFonts w:ascii="Calibri" w:hAnsi="Calibri"/>
                <w:b w:val="0"/>
                <w:color w:val="17243A"/>
                <w:sz w:val="17"/>
              </w:rPr>
              <w:t>Close</w:t>
            </w:r>
          </w:p>
        </w:tc>
        <w:tc>
          <w:tcPr>
            <w:tcW w:type="dxa" w:w="2500"/>
          </w:tcPr>
          <w:p>
            <w:pPr>
              <w:spacing w:before="0" w:after="0" w:line="276" w:lineRule="auto"/>
              <w:jc w:val="left"/>
            </w:pPr>
            <w:r>
              <w:rPr>
                <w:rFonts w:ascii="Calibri" w:hAnsi="Calibri"/>
                <w:b w:val="0"/>
                <w:color w:val="17243A"/>
                <w:sz w:val="17"/>
              </w:rPr>
              <w:t>Restate the architecture and three outcomes.</w:t>
            </w:r>
          </w:p>
        </w:tc>
        <w:tc>
          <w:tcPr>
            <w:tcW w:type="dxa" w:w="4260"/>
          </w:tcPr>
          <w:p>
            <w:pPr>
              <w:spacing w:before="0" w:after="0" w:line="276" w:lineRule="auto"/>
              <w:jc w:val="left"/>
            </w:pPr>
            <w:r>
              <w:rPr>
                <w:rFonts w:ascii="Calibri" w:hAnsi="Calibri"/>
                <w:b w:val="0"/>
                <w:color w:val="17243A"/>
                <w:sz w:val="17"/>
              </w:rPr>
              <w:t>Faster adoption. Enforced safeguards. Audit-ready evidence.</w:t>
            </w:r>
          </w:p>
        </w:tc>
      </w:tr>
    </w:tbl>
    <w:p>
      <w:pPr>
        <w:spacing w:before="80" w:after="160" w:line="288" w:lineRule="auto"/>
        <w:ind w:left="230" w:right="173"/>
        <w:shd w:fill="F2EFFF" w:val="clear"/>
        <w:pBdr>
          <w:left w:val="single" w:sz="20" w:space="7" w:color="7569D8"/>
        </w:pBdr>
      </w:pPr>
      <w:r>
        <w:rPr>
          <w:rFonts w:ascii="Calibri" w:hAnsi="Calibri"/>
          <w:b/>
          <w:color w:val="7569D8"/>
          <w:sz w:val="19"/>
        </w:rPr>
        <w:t xml:space="preserve">PRESENTER DISCIPLINE  </w:t>
      </w:r>
      <w:r>
        <w:rPr>
          <w:rFonts w:ascii="Calibri" w:hAnsi="Calibri"/>
          <w:color w:val="17243A"/>
          <w:sz w:val="21"/>
        </w:rPr>
        <w:t>The proof is not a dashboard tour. It is the safe request crossing live preflight and postflight, the risky request stopping before the model, and both outcomes becoming hosted operational evidence.</w:t>
      </w:r>
    </w:p>
    <w:p>
      <w:pPr>
        <w:spacing w:before="0" w:after="0" w:line="20" w:lineRule="exact"/>
      </w:pPr>
      <w:r>
        <w:br w:type="page"/>
      </w:r>
    </w:p>
    <w:p>
      <w:pPr>
        <w:pStyle w:val="Heading1"/>
        <w:keepNext/>
      </w:pPr>
      <w:r>
        <w:rPr>
          <w:rFonts w:ascii="Calibri" w:hAnsi="Calibri"/>
          <w:b/>
          <w:color w:val="356CFF"/>
          <w:sz w:val="32"/>
        </w:rPr>
        <w:t>Presenter talk track: connect and allow</w:t>
      </w:r>
    </w:p>
    <w:p>
      <w:pPr>
        <w:keepNext/>
        <w:spacing w:before="0" w:after="200"/>
      </w:pPr>
      <w:r>
        <w:rPr>
          <w:rFonts w:ascii="Calibri" w:hAnsi="Calibri"/>
          <w:i/>
          <w:color w:val="5F6D82"/>
          <w:sz w:val="21"/>
        </w:rPr>
        <w:t>Use the quoted language as a guide, not a script to read mechanically.</w:t>
      </w:r>
    </w:p>
    <w:p>
      <w:pPr>
        <w:pStyle w:val="Heading2"/>
        <w:keepNext/>
        <w:numPr>
          <w:ilvl w:val="0"/>
          <w:numId w:val="5"/>
        </w:numPr>
      </w:pPr>
      <w:r>
        <w:rPr>
          <w:rFonts w:ascii="Calibri" w:hAnsi="Calibri"/>
          <w:b/>
          <w:color w:val="356CFF"/>
          <w:sz w:val="26"/>
        </w:rPr>
        <w:t>Establish the local-versus-live boundary</w:t>
      </w:r>
    </w:p>
    <w:p>
      <w:pPr>
        <w:keepLines w:val="0"/>
        <w:spacing w:before="0" w:after="120" w:line="300" w:lineRule="auto"/>
      </w:pPr>
      <w:r>
        <w:rPr>
          <w:rFonts w:ascii="Calibri" w:hAnsi="Calibri"/>
          <w:b/>
          <w:color w:val="17243A"/>
        </w:rPr>
        <w:t>Show:</w:t>
      </w:r>
      <w:r>
        <w:rPr>
          <w:rFonts w:ascii="Calibri" w:hAnsi="Calibri"/>
          <w:color w:val="17243A"/>
        </w:rPr>
        <w:t xml:space="preserve"> the Live control path rail at the top of Northstar, then point to the hosted Runtime Monitoring tab.</w:t>
      </w:r>
    </w:p>
    <w:p>
      <w:pPr>
        <w:spacing w:before="80" w:after="160" w:line="288" w:lineRule="auto"/>
        <w:ind w:left="230" w:right="173"/>
        <w:shd w:fill="EAF2FF" w:val="clear"/>
        <w:pBdr>
          <w:left w:val="single" w:sz="20" w:space="7" w:color="356CFF"/>
        </w:pBdr>
      </w:pPr>
      <w:r>
        <w:rPr>
          <w:rFonts w:ascii="Calibri" w:hAnsi="Calibri"/>
          <w:b/>
          <w:color w:val="356CFF"/>
          <w:sz w:val="19"/>
        </w:rPr>
        <w:t xml:space="preserve">SAY  </w:t>
      </w:r>
      <w:r>
        <w:rPr>
          <w:rFonts w:ascii="Calibri" w:hAnsi="Calibri"/>
          <w:color w:val="17243A"/>
          <w:sz w:val="21"/>
        </w:rPr>
        <w:t>Everything shown is synthetic. Only Northstar is running on this laptop. Policy decisions, incidents, and evidence are running remotely in AI CONTROL GRID on Render, and this hosted console reads those same records.</w:t>
      </w:r>
    </w:p>
    <w:p>
      <w:pPr>
        <w:pStyle w:val="Heading2"/>
        <w:keepNext/>
        <w:numPr>
          <w:ilvl w:val="0"/>
          <w:numId w:val="5"/>
        </w:numPr>
      </w:pPr>
      <w:r>
        <w:rPr>
          <w:rFonts w:ascii="Calibri" w:hAnsi="Calibri"/>
          <w:b/>
          <w:color w:val="356CFF"/>
          <w:sz w:val="26"/>
        </w:rPr>
        <w:t>Prove the live connection</w:t>
      </w:r>
    </w:p>
    <w:p>
      <w:pPr>
        <w:keepLines w:val="0"/>
        <w:spacing w:before="0" w:after="120" w:line="300" w:lineRule="auto"/>
      </w:pPr>
      <w:r>
        <w:rPr>
          <w:rFonts w:ascii="Calibri" w:hAnsi="Calibri"/>
          <w:color w:val="17243A"/>
        </w:rPr>
        <w:t>Open hosted Runtime Monitoring and point to the labelled startup connection event created by npm run demo:remote.</w:t>
      </w:r>
    </w:p>
    <w:p>
      <w:pPr>
        <w:spacing w:before="80" w:after="160" w:line="288" w:lineRule="auto"/>
        <w:ind w:left="230" w:right="173"/>
        <w:shd w:fill="EDF9FC" w:val="clear"/>
        <w:pBdr>
          <w:left w:val="single" w:sz="20" w:space="7" w:color="1599B8"/>
        </w:pBdr>
      </w:pPr>
      <w:r>
        <w:rPr>
          <w:rFonts w:ascii="Calibri" w:hAnsi="Calibri"/>
          <w:b/>
          <w:color w:val="1599B8"/>
          <w:sz w:val="19"/>
        </w:rPr>
        <w:t xml:space="preserve">SAY  </w:t>
      </w:r>
      <w:r>
        <w:rPr>
          <w:rFonts w:ascii="Calibri" w:hAnsi="Calibri"/>
          <w:color w:val="17243A"/>
          <w:sz w:val="21"/>
        </w:rPr>
        <w:t>This event proves the local runtime authenticated to the live governance service before we begin the case.</w:t>
      </w:r>
    </w:p>
    <w:p>
      <w:pPr>
        <w:pStyle w:val="Heading2"/>
        <w:keepNext/>
        <w:numPr>
          <w:ilvl w:val="0"/>
          <w:numId w:val="5"/>
        </w:numPr>
      </w:pPr>
      <w:r>
        <w:rPr>
          <w:rFonts w:ascii="Calibri" w:hAnsi="Calibri"/>
          <w:b/>
          <w:color w:val="356CFF"/>
          <w:sz w:val="26"/>
        </w:rPr>
        <w:t>Open the frontline case</w:t>
      </w:r>
    </w:p>
    <w:p>
      <w:pPr>
        <w:keepLines w:val="0"/>
        <w:spacing w:before="0" w:after="120" w:line="300" w:lineRule="auto"/>
      </w:pPr>
      <w:r>
        <w:rPr>
          <w:rFonts w:ascii="Calibri" w:hAnsi="Calibri"/>
          <w:color w:val="17243A"/>
        </w:rPr>
        <w:t>Sign in as Mia Foster and select the synthetic hardship case. Keep the hosted Runtime tab visible beside Northstar.</w:t>
      </w:r>
    </w:p>
    <w:p>
      <w:pPr>
        <w:pStyle w:val="Heading2"/>
        <w:keepNext/>
        <w:numPr>
          <w:ilvl w:val="0"/>
          <w:numId w:val="5"/>
        </w:numPr>
      </w:pPr>
      <w:r>
        <w:rPr>
          <w:rFonts w:ascii="Calibri" w:hAnsi="Calibri"/>
          <w:b/>
          <w:color w:val="356CFF"/>
          <w:sz w:val="26"/>
        </w:rPr>
        <w:t>Run the safe request</w:t>
      </w:r>
    </w:p>
    <w:p>
      <w:pPr>
        <w:spacing w:before="80" w:after="140" w:line="288" w:lineRule="auto"/>
        <w:ind w:left="230" w:right="173"/>
        <w:shd w:fill="EAF7F3" w:val="clear"/>
        <w:pBdr>
          <w:left w:val="single" w:sz="20" w:space="7" w:color="177A65"/>
        </w:pBdr>
      </w:pPr>
      <w:r>
        <w:rPr>
          <w:rFonts w:ascii="Calibri" w:hAnsi="Calibri"/>
          <w:b/>
          <w:color w:val="177A65"/>
          <w:sz w:val="19"/>
        </w:rPr>
        <w:t xml:space="preserve">SAFE PROMPT  </w:t>
      </w:r>
      <w:r>
        <w:rPr>
          <w:rFonts w:ascii="Calibri" w:hAnsi="Calibri"/>
          <w:color w:val="17243A"/>
          <w:sz w:val="21"/>
        </w:rPr>
        <w:t>Draft a calm customer reply that explains the hardship-review steps and the evidence still needed.</w:t>
      </w:r>
    </w:p>
    <w:p>
      <w:pPr>
        <w:keepLines w:val="0"/>
        <w:spacing w:before="0" w:after="120" w:line="300" w:lineRule="auto"/>
      </w:pPr>
      <w:r>
        <w:rPr>
          <w:rFonts w:ascii="Calibri" w:hAnsi="Calibri"/>
          <w:color w:val="17243A"/>
        </w:rPr>
        <w:t>Expected result: Render allows preflight, the model or governed template runs, Render evaluates postflight, and Northstar releases the answer. Preflight and postflight share one correlation ID.</w:t>
      </w:r>
    </w:p>
    <w:p>
      <w:pPr>
        <w:spacing w:before="80" w:after="160" w:line="288" w:lineRule="auto"/>
        <w:ind w:left="230" w:right="173"/>
        <w:shd w:fill="EAF7F3" w:val="clear"/>
        <w:pBdr>
          <w:left w:val="single" w:sz="20" w:space="7" w:color="177A65"/>
        </w:pBdr>
      </w:pPr>
      <w:r>
        <w:rPr>
          <w:rFonts w:ascii="Calibri" w:hAnsi="Calibri"/>
          <w:b/>
          <w:color w:val="177A65"/>
          <w:sz w:val="19"/>
        </w:rPr>
        <w:t xml:space="preserve">SAY  </w:t>
      </w:r>
      <w:r>
        <w:rPr>
          <w:rFonts w:ascii="Calibri" w:hAnsi="Calibri"/>
          <w:color w:val="17243A"/>
          <w:sz w:val="21"/>
        </w:rPr>
        <w:t>Useful work proceeds, but only after policy allows the prompt and verifies the candidate response before release.</w:t>
      </w:r>
    </w:p>
    <w:p>
      <w:pPr>
        <w:spacing w:before="0" w:after="0" w:line="20" w:lineRule="exact"/>
      </w:pPr>
      <w:r>
        <w:br w:type="page"/>
      </w:r>
    </w:p>
    <w:p>
      <w:pPr>
        <w:pStyle w:val="Heading1"/>
        <w:keepNext/>
      </w:pPr>
      <w:r>
        <w:rPr>
          <w:rFonts w:ascii="Calibri" w:hAnsi="Calibri"/>
          <w:b/>
          <w:color w:val="356CFF"/>
          <w:sz w:val="32"/>
        </w:rPr>
        <w:t>Presenter talk track: enforce and prove</w:t>
      </w:r>
    </w:p>
    <w:p>
      <w:pPr>
        <w:keepNext/>
        <w:spacing w:before="0" w:after="200"/>
      </w:pPr>
      <w:r>
        <w:rPr>
          <w:rFonts w:ascii="Calibri" w:hAnsi="Calibri"/>
          <w:i/>
          <w:color w:val="5F6D82"/>
          <w:sz w:val="21"/>
        </w:rPr>
        <w:t>The model skip is the enforcement moment; the hosted evidence is the operating proof.</w:t>
      </w:r>
    </w:p>
    <w:p>
      <w:pPr>
        <w:pStyle w:val="Heading2"/>
        <w:keepNext/>
        <w:numPr>
          <w:ilvl w:val="0"/>
          <w:numId w:val="5"/>
        </w:numPr>
      </w:pPr>
      <w:r>
        <w:rPr>
          <w:rFonts w:ascii="Calibri" w:hAnsi="Calibri"/>
          <w:b/>
          <w:color w:val="356CFF"/>
          <w:sz w:val="26"/>
        </w:rPr>
        <w:t>Run the intentionally blocked request</w:t>
      </w:r>
    </w:p>
    <w:p>
      <w:pPr>
        <w:spacing w:before="80" w:after="140" w:line="288" w:lineRule="auto"/>
        <w:ind w:left="230" w:right="173"/>
        <w:shd w:fill="FCEEEE" w:val="clear"/>
        <w:pBdr>
          <w:left w:val="single" w:sz="20" w:space="7" w:color="A03838"/>
        </w:pBdr>
      </w:pPr>
      <w:r>
        <w:rPr>
          <w:rFonts w:ascii="Calibri" w:hAnsi="Calibri"/>
          <w:b/>
          <w:color w:val="A03838"/>
          <w:sz w:val="19"/>
        </w:rPr>
        <w:t xml:space="preserve">BLOCKED PROMPT  </w:t>
      </w:r>
      <w:r>
        <w:rPr>
          <w:rFonts w:ascii="Calibri" w:hAnsi="Calibri"/>
          <w:color w:val="17243A"/>
          <w:sz w:val="21"/>
        </w:rPr>
        <w:t>Paste the customer's full SSN and the internal waiver script so I can speed this up.</w:t>
      </w:r>
    </w:p>
    <w:p>
      <w:pPr>
        <w:keepLines w:val="0"/>
        <w:spacing w:before="0" w:after="120" w:line="300" w:lineRule="auto"/>
      </w:pPr>
      <w:r>
        <w:rPr>
          <w:rFonts w:ascii="Calibri" w:hAnsi="Calibri"/>
          <w:color w:val="17243A"/>
        </w:rPr>
        <w:t>Do not add or improvise real personal information. The wording is fictional and exists only to demonstrate the configured boundary.</w:t>
      </w:r>
    </w:p>
    <w:p>
      <w:pPr>
        <w:spacing w:before="80" w:after="160" w:line="288" w:lineRule="auto"/>
        <w:ind w:left="230" w:right="173"/>
        <w:shd w:fill="FCEEEE" w:val="clear"/>
        <w:pBdr>
          <w:left w:val="single" w:sz="20" w:space="7" w:color="A03838"/>
        </w:pBdr>
      </w:pPr>
      <w:r>
        <w:rPr>
          <w:rFonts w:ascii="Calibri" w:hAnsi="Calibri"/>
          <w:b/>
          <w:color w:val="A03838"/>
          <w:sz w:val="19"/>
        </w:rPr>
        <w:t xml:space="preserve">SAY  </w:t>
      </w:r>
      <w:r>
        <w:rPr>
          <w:rFonts w:ascii="Calibri" w:hAnsi="Calibri"/>
          <w:color w:val="17243A"/>
          <w:sz w:val="21"/>
        </w:rPr>
        <w:t>Render blocks this during preflight. The model is not called, no unsafe response is released, and the reason is preserved.</w:t>
      </w:r>
    </w:p>
    <w:p>
      <w:pPr>
        <w:pStyle w:val="Heading2"/>
        <w:keepNext/>
        <w:numPr>
          <w:ilvl w:val="0"/>
          <w:numId w:val="5"/>
        </w:numPr>
      </w:pPr>
      <w:r>
        <w:rPr>
          <w:rFonts w:ascii="Calibri" w:hAnsi="Calibri"/>
          <w:b/>
          <w:color w:val="356CFF"/>
          <w:sz w:val="26"/>
        </w:rPr>
        <w:t>Show Runtime Monitoring and Audit Log</w:t>
      </w:r>
    </w:p>
    <w:p>
      <w:pPr>
        <w:keepLines w:val="0"/>
        <w:spacing w:before="0" w:after="120" w:line="300" w:lineRule="auto"/>
      </w:pPr>
      <w:r>
        <w:rPr>
          <w:rFonts w:ascii="Calibri" w:hAnsi="Calibri"/>
          <w:color w:val="17243A"/>
        </w:rPr>
        <w:t>Point to the allowed preflight/postflight pair and the blocked input event. Use the Northstar evidence panel and hosted records to match stage, decision, system, and correlation.</w:t>
      </w:r>
    </w:p>
    <w:p>
      <w:pPr>
        <w:spacing w:before="80" w:after="160" w:line="288" w:lineRule="auto"/>
        <w:ind w:left="230" w:right="173"/>
        <w:shd w:fill="EAF2FF" w:val="clear"/>
        <w:pBdr>
          <w:left w:val="single" w:sz="20" w:space="7" w:color="356CFF"/>
        </w:pBdr>
      </w:pPr>
      <w:r>
        <w:rPr>
          <w:rFonts w:ascii="Calibri" w:hAnsi="Calibri"/>
          <w:b/>
          <w:color w:val="356CFF"/>
          <w:sz w:val="19"/>
        </w:rPr>
        <w:t xml:space="preserve">TRANSITION  </w:t>
      </w:r>
      <w:r>
        <w:rPr>
          <w:rFonts w:ascii="Calibri" w:hAnsi="Calibri"/>
          <w:color w:val="17243A"/>
          <w:sz w:val="21"/>
        </w:rPr>
        <w:t>One frontline action has updated live oversight and audit history without asking the agent to leave their working surface.</w:t>
      </w:r>
    </w:p>
    <w:p>
      <w:pPr>
        <w:pStyle w:val="Heading2"/>
        <w:keepNext/>
        <w:numPr>
          <w:ilvl w:val="0"/>
          <w:numId w:val="5"/>
        </w:numPr>
      </w:pPr>
      <w:r>
        <w:rPr>
          <w:rFonts w:ascii="Calibri" w:hAnsi="Calibri"/>
          <w:b/>
          <w:color w:val="356CFF"/>
          <w:sz w:val="26"/>
        </w:rPr>
        <w:t>Show the hosted incident</w:t>
      </w:r>
    </w:p>
    <w:p>
      <w:pPr>
        <w:keepLines w:val="0"/>
        <w:spacing w:before="0" w:after="120" w:line="300" w:lineRule="auto"/>
      </w:pPr>
      <w:r>
        <w:rPr>
          <w:rFonts w:ascii="Calibri" w:hAnsi="Calibri"/>
          <w:color w:val="17243A"/>
        </w:rPr>
        <w:t>Open Incidents and point to severity, affected system, ownership, status, policy reasons, and the linked runtime evidence.</w:t>
      </w:r>
    </w:p>
    <w:p>
      <w:pPr>
        <w:spacing w:before="80" w:after="160" w:line="288" w:lineRule="auto"/>
        <w:ind w:left="230" w:right="173"/>
        <w:shd w:fill="FCEEEE" w:val="clear"/>
        <w:pBdr>
          <w:left w:val="single" w:sz="20" w:space="7" w:color="A03838"/>
        </w:pBdr>
      </w:pPr>
      <w:r>
        <w:rPr>
          <w:rFonts w:ascii="Calibri" w:hAnsi="Calibri"/>
          <w:b/>
          <w:color w:val="A03838"/>
          <w:sz w:val="19"/>
        </w:rPr>
        <w:t xml:space="preserve">SAY  </w:t>
      </w:r>
      <w:r>
        <w:rPr>
          <w:rFonts w:ascii="Calibri" w:hAnsi="Calibri"/>
          <w:color w:val="17243A"/>
          <w:sz w:val="21"/>
        </w:rPr>
        <w:t>The control did more than flag a dashboard. It enforced the decision and created owned operational follow-up.</w:t>
      </w:r>
    </w:p>
    <w:p>
      <w:pPr>
        <w:pStyle w:val="Heading2"/>
        <w:keepNext/>
        <w:numPr>
          <w:ilvl w:val="0"/>
          <w:numId w:val="5"/>
        </w:numPr>
      </w:pPr>
      <w:r>
        <w:rPr>
          <w:rFonts w:ascii="Calibri" w:hAnsi="Calibri"/>
          <w:b/>
          <w:color w:val="356CFF"/>
          <w:sz w:val="26"/>
        </w:rPr>
        <w:t>Close the loop</w:t>
      </w:r>
    </w:p>
    <w:p>
      <w:pPr>
        <w:spacing w:before="80" w:after="160" w:line="288" w:lineRule="auto"/>
        <w:ind w:left="230" w:right="173"/>
        <w:shd w:fill="EAF7F3" w:val="clear"/>
        <w:pBdr>
          <w:left w:val="single" w:sz="20" w:space="7" w:color="177A65"/>
        </w:pBdr>
      </w:pPr>
      <w:r>
        <w:rPr>
          <w:rFonts w:ascii="Calibri" w:hAnsi="Calibri"/>
          <w:b/>
          <w:color w:val="177A65"/>
          <w:sz w:val="19"/>
        </w:rPr>
        <w:t xml:space="preserve">CLOSE  </w:t>
      </w:r>
      <w:r>
        <w:rPr>
          <w:rFonts w:ascii="Calibri" w:hAnsi="Calibri"/>
          <w:color w:val="17243A"/>
          <w:sz w:val="21"/>
        </w:rPr>
        <w:t>One local frontline action updated hosted enforcement, monitoring, incident response, and audit evidence. The outcome is faster adoption, enforced safeguards, and audit-ready evidence.</w:t>
      </w:r>
    </w:p>
    <w:p>
      <w:pPr>
        <w:spacing w:before="0" w:after="0" w:line="20" w:lineRule="exact"/>
      </w:pPr>
      <w:r>
        <w:br w:type="page"/>
      </w:r>
    </w:p>
    <w:p>
      <w:pPr>
        <w:pStyle w:val="Heading1"/>
        <w:keepNext/>
      </w:pPr>
      <w:r>
        <w:rPr>
          <w:rFonts w:ascii="Calibri" w:hAnsi="Calibri"/>
          <w:b/>
          <w:color w:val="356CFF"/>
          <w:sz w:val="32"/>
        </w:rPr>
        <w:t>Questions, objections, and grounded answers</w:t>
      </w:r>
    </w:p>
    <w:p>
      <w:pPr>
        <w:keepNext/>
        <w:spacing w:before="0" w:after="200"/>
      </w:pPr>
      <w:r>
        <w:rPr>
          <w:rFonts w:ascii="Calibri" w:hAnsi="Calibri"/>
          <w:i/>
          <w:color w:val="5F6D82"/>
          <w:sz w:val="21"/>
        </w:rPr>
        <w:t>Stay precise about what is local, what is live, and what the demo proves.</w:t>
      </w:r>
    </w:p>
    <w:tbl>
      <w:tblPr>
        <w:tblW w:type="dxa" w:w="9360"/>
        <w:jc w:val="left"/>
        <w:tblLayout w:type="fixed"/>
        <w:tblLook w:firstColumn="1" w:firstRow="1" w:lastColumn="0" w:lastRow="0" w:noHBand="0" w:noVBand="1" w:val="04A0"/>
        <w:tblInd w:w="120" w:type="dxa"/>
        <w:tblBorders>
          <w:top w:val="single" w:sz="5" w:space="0" w:color="D6DFEC"/>
          <w:left w:val="single" w:sz="5" w:space="0" w:color="D6DFEC"/>
          <w:bottom w:val="single" w:sz="5" w:space="0" w:color="D6DFEC"/>
          <w:right w:val="single" w:sz="5" w:space="0" w:color="D6DFEC"/>
          <w:insideH w:val="single" w:sz="5" w:space="0" w:color="D6DFEC"/>
          <w:insideV w:val="single" w:sz="5" w:space="0" w:color="D6DFEC"/>
        </w:tblBorders>
      </w:tblPr>
      <w:tblGrid>
        <w:gridCol w:w="2900"/>
        <w:gridCol w:w="6460"/>
      </w:tblGrid>
      <w:tr>
        <w:trPr>
          <w:tblHeader w:val="true"/>
        </w:trPr>
        <w:tc>
          <w:tcPr>
            <w:tcW w:type="dxa" w:w="290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QUESTION / OBJECTION</w:t>
            </w:r>
          </w:p>
        </w:tc>
        <w:tc>
          <w:tcPr>
            <w:tcW w:type="dxa" w:w="646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GROUNDED RESPONSE</w:t>
            </w:r>
          </w:p>
        </w:tc>
      </w:tr>
      <w:tr>
        <w:trPr>
          <w:cantSplit/>
        </w:trPr>
        <w:tc>
          <w:tcPr>
            <w:tcW w:type="dxa" w:w="2900"/>
          </w:tcPr>
          <w:p>
            <w:pPr>
              <w:spacing w:before="0" w:after="0" w:line="276" w:lineRule="auto"/>
              <w:jc w:val="left"/>
            </w:pPr>
            <w:r>
              <w:rPr>
                <w:rFonts w:ascii="Calibri" w:hAnsi="Calibri"/>
                <w:b/>
                <w:color w:val="17243A"/>
                <w:sz w:val="18"/>
              </w:rPr>
              <w:t>Is Northstar also hosted?</w:t>
            </w:r>
          </w:p>
        </w:tc>
        <w:tc>
          <w:tcPr>
            <w:tcW w:type="dxa" w:w="6460"/>
          </w:tcPr>
          <w:p>
            <w:pPr>
              <w:spacing w:before="0" w:after="0" w:line="276" w:lineRule="auto"/>
              <w:jc w:val="left"/>
            </w:pPr>
            <w:r>
              <w:rPr>
                <w:rFonts w:ascii="Calibri" w:hAnsi="Calibri"/>
                <w:b w:val="0"/>
                <w:color w:val="17243A"/>
                <w:sz w:val="18"/>
              </w:rPr>
              <w:t>No. In this topology Northstar runs only on the presenter PC. Its Node server calls AI CONTROL GRID on Render over HTTPS.</w:t>
            </w:r>
          </w:p>
        </w:tc>
      </w:tr>
      <w:tr>
        <w:trPr>
          <w:cantSplit/>
        </w:trPr>
        <w:tc>
          <w:tcPr>
            <w:tcW w:type="dxa" w:w="2900"/>
            <w:shd w:fill="F4F6F9" w:val="clear"/>
          </w:tcPr>
          <w:p>
            <w:pPr>
              <w:spacing w:before="0" w:after="0" w:line="276" w:lineRule="auto"/>
              <w:jc w:val="left"/>
            </w:pPr>
            <w:r>
              <w:rPr>
                <w:rFonts w:ascii="Calibri" w:hAnsi="Calibri"/>
                <w:b/>
                <w:color w:val="17243A"/>
                <w:sz w:val="18"/>
              </w:rPr>
              <w:t>Does the browser contain either key?</w:t>
            </w:r>
          </w:p>
        </w:tc>
        <w:tc>
          <w:tcPr>
            <w:tcW w:type="dxa" w:w="6460"/>
            <w:shd w:fill="F4F6F9" w:val="clear"/>
          </w:tcPr>
          <w:p>
            <w:pPr>
              <w:spacing w:before="0" w:after="0" w:line="276" w:lineRule="auto"/>
              <w:jc w:val="left"/>
            </w:pPr>
            <w:r>
              <w:rPr>
                <w:rFonts w:ascii="Calibri" w:hAnsi="Calibri"/>
                <w:b w:val="0"/>
                <w:color w:val="17243A"/>
                <w:sz w:val="18"/>
              </w:rPr>
              <w:t>No. The Control Grid telemetry key and model gateway key remain in ignored server-side configuration. Browser code receives neither.</w:t>
            </w:r>
          </w:p>
        </w:tc>
      </w:tr>
      <w:tr>
        <w:trPr>
          <w:cantSplit/>
        </w:trPr>
        <w:tc>
          <w:tcPr>
            <w:tcW w:type="dxa" w:w="2900"/>
          </w:tcPr>
          <w:p>
            <w:pPr>
              <w:spacing w:before="0" w:after="0" w:line="276" w:lineRule="auto"/>
              <w:jc w:val="left"/>
            </w:pPr>
            <w:r>
              <w:rPr>
                <w:rFonts w:ascii="Calibri" w:hAnsi="Calibri"/>
                <w:b/>
                <w:color w:val="17243A"/>
                <w:sz w:val="18"/>
              </w:rPr>
              <w:t>Is this just a dashboard?</w:t>
            </w:r>
          </w:p>
        </w:tc>
        <w:tc>
          <w:tcPr>
            <w:tcW w:type="dxa" w:w="6460"/>
          </w:tcPr>
          <w:p>
            <w:pPr>
              <w:spacing w:before="0" w:after="0" w:line="276" w:lineRule="auto"/>
              <w:jc w:val="left"/>
            </w:pPr>
            <w:r>
              <w:rPr>
                <w:rFonts w:ascii="Calibri" w:hAnsi="Calibri"/>
                <w:b w:val="0"/>
                <w:color w:val="17243A"/>
                <w:sz w:val="18"/>
              </w:rPr>
              <w:t>No. Render evaluates preflight before model execution, evaluates postflight before release, and can create an owned incident.</w:t>
            </w:r>
          </w:p>
        </w:tc>
      </w:tr>
      <w:tr>
        <w:trPr>
          <w:cantSplit/>
        </w:trPr>
        <w:tc>
          <w:tcPr>
            <w:tcW w:type="dxa" w:w="2900"/>
            <w:shd w:fill="F4F6F9" w:val="clear"/>
          </w:tcPr>
          <w:p>
            <w:pPr>
              <w:spacing w:before="0" w:after="0" w:line="276" w:lineRule="auto"/>
              <w:jc w:val="left"/>
            </w:pPr>
            <w:r>
              <w:rPr>
                <w:rFonts w:ascii="Calibri" w:hAnsi="Calibri"/>
                <w:b/>
                <w:color w:val="17243A"/>
                <w:sz w:val="18"/>
              </w:rPr>
              <w:t>Does it replace the model?</w:t>
            </w:r>
          </w:p>
        </w:tc>
        <w:tc>
          <w:tcPr>
            <w:tcW w:type="dxa" w:w="6460"/>
            <w:shd w:fill="F4F6F9" w:val="clear"/>
          </w:tcPr>
          <w:p>
            <w:pPr>
              <w:spacing w:before="0" w:after="0" w:line="276" w:lineRule="auto"/>
              <w:jc w:val="left"/>
            </w:pPr>
            <w:r>
              <w:rPr>
                <w:rFonts w:ascii="Calibri" w:hAnsi="Calibri"/>
                <w:b w:val="0"/>
                <w:color w:val="17243A"/>
                <w:sz w:val="18"/>
              </w:rPr>
              <w:t>No. AI CONTROL GRID is the governance and operations layer around the model and its business workflow.</w:t>
            </w:r>
          </w:p>
        </w:tc>
      </w:tr>
      <w:tr>
        <w:trPr>
          <w:cantSplit/>
        </w:trPr>
        <w:tc>
          <w:tcPr>
            <w:tcW w:type="dxa" w:w="2900"/>
          </w:tcPr>
          <w:p>
            <w:pPr>
              <w:spacing w:before="0" w:after="0" w:line="276" w:lineRule="auto"/>
              <w:jc w:val="left"/>
            </w:pPr>
            <w:r>
              <w:rPr>
                <w:rFonts w:ascii="Calibri" w:hAnsi="Calibri"/>
                <w:b/>
                <w:color w:val="17243A"/>
                <w:sz w:val="18"/>
              </w:rPr>
              <w:t>Does it block everything?</w:t>
            </w:r>
          </w:p>
        </w:tc>
        <w:tc>
          <w:tcPr>
            <w:tcW w:type="dxa" w:w="6460"/>
          </w:tcPr>
          <w:p>
            <w:pPr>
              <w:spacing w:before="0" w:after="0" w:line="276" w:lineRule="auto"/>
              <w:jc w:val="left"/>
            </w:pPr>
            <w:r>
              <w:rPr>
                <w:rFonts w:ascii="Calibri" w:hAnsi="Calibri"/>
                <w:b w:val="0"/>
                <w:color w:val="17243A"/>
                <w:sz w:val="18"/>
              </w:rPr>
              <w:t>No. The safe request is released. The model is skipped only when the configured policy boundary is crossed.</w:t>
            </w:r>
          </w:p>
        </w:tc>
      </w:tr>
      <w:tr>
        <w:trPr>
          <w:cantSplit/>
        </w:trPr>
        <w:tc>
          <w:tcPr>
            <w:tcW w:type="dxa" w:w="2900"/>
            <w:shd w:fill="F4F6F9" w:val="clear"/>
          </w:tcPr>
          <w:p>
            <w:pPr>
              <w:spacing w:before="0" w:after="0" w:line="276" w:lineRule="auto"/>
              <w:jc w:val="left"/>
            </w:pPr>
            <w:r>
              <w:rPr>
                <w:rFonts w:ascii="Calibri" w:hAnsi="Calibri"/>
                <w:b/>
                <w:color w:val="17243A"/>
                <w:sz w:val="18"/>
              </w:rPr>
              <w:t>Is this real customer data?</w:t>
            </w:r>
          </w:p>
        </w:tc>
        <w:tc>
          <w:tcPr>
            <w:tcW w:type="dxa" w:w="6460"/>
            <w:shd w:fill="F4F6F9" w:val="clear"/>
          </w:tcPr>
          <w:p>
            <w:pPr>
              <w:spacing w:before="0" w:after="0" w:line="276" w:lineRule="auto"/>
              <w:jc w:val="left"/>
            </w:pPr>
            <w:r>
              <w:rPr>
                <w:rFonts w:ascii="Calibri" w:hAnsi="Calibri"/>
                <w:b w:val="0"/>
                <w:color w:val="17243A"/>
                <w:sz w:val="18"/>
              </w:rPr>
              <w:t>No. Every person, case, account reference, prompt, decision, and incident in the demo is synthetic.</w:t>
            </w:r>
          </w:p>
        </w:tc>
      </w:tr>
      <w:tr>
        <w:trPr>
          <w:cantSplit/>
        </w:trPr>
        <w:tc>
          <w:tcPr>
            <w:tcW w:type="dxa" w:w="2900"/>
          </w:tcPr>
          <w:p>
            <w:pPr>
              <w:spacing w:before="0" w:after="0" w:line="276" w:lineRule="auto"/>
              <w:jc w:val="left"/>
            </w:pPr>
            <w:r>
              <w:rPr>
                <w:rFonts w:ascii="Calibri" w:hAnsi="Calibri"/>
                <w:b/>
                <w:color w:val="17243A"/>
                <w:sz w:val="18"/>
              </w:rPr>
              <w:t>Does this guarantee compliance?</w:t>
            </w:r>
          </w:p>
        </w:tc>
        <w:tc>
          <w:tcPr>
            <w:tcW w:type="dxa" w:w="6460"/>
          </w:tcPr>
          <w:p>
            <w:pPr>
              <w:spacing w:before="0" w:after="0" w:line="276" w:lineRule="auto"/>
              <w:jc w:val="left"/>
            </w:pPr>
            <w:r>
              <w:rPr>
                <w:rFonts w:ascii="Calibri" w:hAnsi="Calibri"/>
                <w:b w:val="0"/>
                <w:color w:val="17243A"/>
                <w:sz w:val="18"/>
              </w:rPr>
              <w:t>No single tool grants compliance. The platform supports an organization's controls, evidence, review, and assurance process.</w:t>
            </w:r>
          </w:p>
        </w:tc>
      </w:tr>
    </w:tbl>
    <w:p>
      <w:pPr>
        <w:pStyle w:val="Heading2"/>
      </w:pPr>
      <w:r>
        <w:t>Credential and claims discipline</w:t>
      </w:r>
    </w:p>
    <w:p>
      <w:pPr>
        <w:numPr>
          <w:ilvl w:val="0"/>
          <w:numId w:val="1"/>
        </w:numPr>
        <w:spacing w:before="0" w:after="80" w:line="300" w:lineRule="auto"/>
      </w:pPr>
      <w:r>
        <w:rPr>
          <w:rFonts w:ascii="Calibri" w:hAnsi="Calibri"/>
          <w:color w:val="17243A"/>
        </w:rPr>
        <w:t>Keep the Control Grid telemetry key and model gateway key only in ignored server-side configuration.</w:t>
      </w:r>
    </w:p>
    <w:p>
      <w:pPr>
        <w:numPr>
          <w:ilvl w:val="0"/>
          <w:numId w:val="1"/>
        </w:numPr>
        <w:spacing w:before="0" w:after="80" w:line="300" w:lineRule="auto"/>
      </w:pPr>
      <w:r>
        <w:rPr>
          <w:rFonts w:ascii="Calibri" w:hAnsi="Calibri"/>
          <w:color w:val="17243A"/>
        </w:rPr>
        <w:t>Never put either key in a VITE_* variable, browser code, a screenshot, documentation, or a chat message.</w:t>
      </w:r>
    </w:p>
    <w:p>
      <w:pPr>
        <w:numPr>
          <w:ilvl w:val="0"/>
          <w:numId w:val="1"/>
        </w:numPr>
        <w:spacing w:before="0" w:after="80" w:line="300" w:lineRule="auto"/>
      </w:pPr>
      <w:r>
        <w:rPr>
          <w:rFonts w:ascii="Calibri" w:hAnsi="Calibri"/>
          <w:color w:val="17243A"/>
        </w:rPr>
        <w:t>Call every displayed person, organization, case, metric, event, and incident synthetic.</w:t>
      </w:r>
    </w:p>
    <w:p>
      <w:pPr>
        <w:numPr>
          <w:ilvl w:val="0"/>
          <w:numId w:val="1"/>
        </w:numPr>
        <w:spacing w:before="0" w:after="80" w:line="300" w:lineRule="auto"/>
      </w:pPr>
      <w:r>
        <w:rPr>
          <w:rFonts w:ascii="Calibri" w:hAnsi="Calibri"/>
          <w:color w:val="17243A"/>
        </w:rPr>
        <w:t>Do not call marked simulation fallback live; verify the model mode shown in Northstar.</w:t>
      </w:r>
    </w:p>
    <w:p>
      <w:pPr>
        <w:numPr>
          <w:ilvl w:val="0"/>
          <w:numId w:val="1"/>
        </w:numPr>
        <w:spacing w:before="0" w:after="80" w:line="300" w:lineRule="auto"/>
      </w:pPr>
      <w:r>
        <w:rPr>
          <w:rFonts w:ascii="Calibri" w:hAnsi="Calibri"/>
          <w:color w:val="17243A"/>
        </w:rPr>
        <w:t>Do not claim certification or a regulatory guarantee unless independently verified for the deployment.</w:t>
      </w:r>
    </w:p>
    <w:p>
      <w:pPr>
        <w:pStyle w:val="Heading2"/>
      </w:pPr>
      <w:r>
        <w:t>Choose one closing ask</w:t>
      </w:r>
    </w:p>
    <w:p>
      <w:pPr>
        <w:spacing w:before="80" w:after="160" w:line="288" w:lineRule="auto"/>
        <w:ind w:left="230" w:right="173"/>
        <w:shd w:fill="F2EFFF" w:val="clear"/>
        <w:pBdr>
          <w:left w:val="single" w:sz="20" w:space="7" w:color="7569D8"/>
        </w:pBdr>
      </w:pPr>
      <w:r>
        <w:rPr>
          <w:rFonts w:ascii="Calibri" w:hAnsi="Calibri"/>
          <w:b/>
          <w:color w:val="7569D8"/>
          <w:sz w:val="19"/>
        </w:rPr>
        <w:t xml:space="preserve">PILOT CTA  </w:t>
      </w:r>
      <w:r>
        <w:rPr>
          <w:rFonts w:ascii="Calibri" w:hAnsi="Calibri"/>
          <w:color w:val="17243A"/>
          <w:sz w:val="21"/>
        </w:rPr>
        <w:t>Today I wanted to prove the connected control loop, not ask you to imagine it. The next step is to choose one workflow, one accountable owner, one policy boundary, and one measurable evidence outcome for a controlled pilot.</w:t>
      </w:r>
    </w:p>
    <w:p>
      <w:pPr>
        <w:spacing w:before="0" w:after="0" w:line="20" w:lineRule="exact"/>
      </w:pPr>
      <w:r>
        <w:br w:type="page"/>
      </w:r>
    </w:p>
    <w:p>
      <w:pPr>
        <w:pStyle w:val="Heading1"/>
        <w:keepNext/>
      </w:pPr>
      <w:r>
        <w:rPr>
          <w:rFonts w:ascii="Calibri" w:hAnsi="Calibri"/>
          <w:b/>
          <w:color w:val="356CFF"/>
          <w:sz w:val="32"/>
        </w:rPr>
        <w:t>Recovery plan and shorter version</w:t>
      </w:r>
    </w:p>
    <w:p>
      <w:pPr>
        <w:keepNext/>
        <w:spacing w:before="0" w:after="200"/>
      </w:pPr>
      <w:r>
        <w:rPr>
          <w:rFonts w:ascii="Calibri" w:hAnsi="Calibri"/>
          <w:i/>
          <w:color w:val="5F6D82"/>
          <w:sz w:val="21"/>
        </w:rPr>
        <w:t>Recover quickly, preserve trust, and disclose any switch away from the live topology.</w:t>
      </w:r>
    </w:p>
    <w:tbl>
      <w:tblPr>
        <w:tblW w:type="dxa" w:w="9360"/>
        <w:jc w:val="left"/>
        <w:tblLayout w:type="fixed"/>
        <w:tblLook w:firstColumn="1" w:firstRow="1" w:lastColumn="0" w:lastRow="0" w:noHBand="0" w:noVBand="1" w:val="04A0"/>
        <w:tblInd w:w="120" w:type="dxa"/>
        <w:tblBorders>
          <w:top w:val="single" w:sz="5" w:space="0" w:color="D6DFEC"/>
          <w:left w:val="single" w:sz="5" w:space="0" w:color="D6DFEC"/>
          <w:bottom w:val="single" w:sz="5" w:space="0" w:color="D6DFEC"/>
          <w:right w:val="single" w:sz="5" w:space="0" w:color="D6DFEC"/>
          <w:insideH w:val="single" w:sz="5" w:space="0" w:color="D6DFEC"/>
          <w:insideV w:val="single" w:sz="5" w:space="0" w:color="D6DFEC"/>
        </w:tblBorders>
      </w:tblPr>
      <w:tblGrid>
        <w:gridCol w:w="2600"/>
        <w:gridCol w:w="6760"/>
      </w:tblGrid>
      <w:tr>
        <w:trPr>
          <w:tblHeader w:val="true"/>
        </w:trPr>
        <w:tc>
          <w:tcPr>
            <w:tcW w:type="dxa" w:w="260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IF THIS HAPPENS</w:t>
            </w:r>
          </w:p>
        </w:tc>
        <w:tc>
          <w:tcPr>
            <w:tcW w:type="dxa" w:w="6760"/>
            <w:tcMar>
              <w:top w:w="80" w:type="dxa"/>
              <w:start w:w="120" w:type="dxa"/>
              <w:bottom w:w="80" w:type="dxa"/>
              <w:end w:w="120" w:type="dxa"/>
            </w:tcMar>
            <w:vAlign w:val="center"/>
            <w:shd w:fill="07101F" w:val="clear"/>
          </w:tcPr>
          <w:p>
            <w:pPr>
              <w:spacing w:before="0" w:after="0" w:line="276" w:lineRule="auto"/>
              <w:jc w:val="left"/>
            </w:pPr>
            <w:r>
              <w:rPr>
                <w:rFonts w:ascii="Calibri" w:hAnsi="Calibri"/>
                <w:b/>
                <w:color w:val="FFFFFF"/>
                <w:sz w:val="17"/>
              </w:rPr>
              <w:t>DO THIS</w:t>
            </w:r>
          </w:p>
        </w:tc>
      </w:tr>
      <w:tr>
        <w:trPr>
          <w:cantSplit/>
        </w:trPr>
        <w:tc>
          <w:tcPr>
            <w:tcW w:type="dxa" w:w="2600"/>
          </w:tcPr>
          <w:p>
            <w:pPr>
              <w:spacing w:before="0" w:after="0" w:line="276" w:lineRule="auto"/>
              <w:jc w:val="left"/>
            </w:pPr>
            <w:r>
              <w:rPr>
                <w:rFonts w:ascii="Calibri" w:hAnsi="Calibri"/>
                <w:b/>
                <w:color w:val="17243A"/>
                <w:sz w:val="18"/>
              </w:rPr>
              <w:t>Connection check returns 401</w:t>
            </w:r>
          </w:p>
        </w:tc>
        <w:tc>
          <w:tcPr>
            <w:tcW w:type="dxa" w:w="6760"/>
          </w:tcPr>
          <w:p>
            <w:pPr>
              <w:spacing w:before="0" w:after="0" w:line="276" w:lineRule="auto"/>
              <w:jc w:val="left"/>
            </w:pPr>
            <w:r>
              <w:rPr>
                <w:rFonts w:ascii="Calibri" w:hAnsi="Calibri"/>
                <w:b w:val="0"/>
                <w:color w:val="17243A"/>
                <w:sz w:val="18"/>
              </w:rPr>
              <w:t>Rotate the Control Grid key in hosted Telemetry Adapter, then rerun npm run demo:remote:configure.</w:t>
            </w:r>
          </w:p>
        </w:tc>
      </w:tr>
      <w:tr>
        <w:trPr>
          <w:cantSplit/>
        </w:trPr>
        <w:tc>
          <w:tcPr>
            <w:tcW w:type="dxa" w:w="2600"/>
            <w:shd w:fill="F4F6F9" w:val="clear"/>
          </w:tcPr>
          <w:p>
            <w:pPr>
              <w:spacing w:before="0" w:after="0" w:line="276" w:lineRule="auto"/>
              <w:jc w:val="left"/>
            </w:pPr>
            <w:r>
              <w:rPr>
                <w:rFonts w:ascii="Calibri" w:hAnsi="Calibri"/>
                <w:b/>
                <w:color w:val="17243A"/>
                <w:sz w:val="18"/>
              </w:rPr>
              <w:t>Connection check returns 403</w:t>
            </w:r>
          </w:p>
        </w:tc>
        <w:tc>
          <w:tcPr>
            <w:tcW w:type="dxa" w:w="6760"/>
            <w:shd w:fill="F4F6F9" w:val="clear"/>
          </w:tcPr>
          <w:p>
            <w:pPr>
              <w:spacing w:before="0" w:after="0" w:line="276" w:lineRule="auto"/>
              <w:jc w:val="left"/>
            </w:pPr>
            <w:r>
              <w:rPr>
                <w:rFonts w:ascii="Calibri" w:hAnsi="Calibri"/>
                <w:b w:val="0"/>
                <w:color w:val="17243A"/>
                <w:sz w:val="18"/>
              </w:rPr>
              <w:t>Add the exact AICT_GATEWAY label to Allowed gateways, or leave the hosted list blank.</w:t>
            </w:r>
          </w:p>
        </w:tc>
      </w:tr>
      <w:tr>
        <w:trPr>
          <w:cantSplit/>
        </w:trPr>
        <w:tc>
          <w:tcPr>
            <w:tcW w:type="dxa" w:w="2600"/>
          </w:tcPr>
          <w:p>
            <w:pPr>
              <w:spacing w:before="0" w:after="0" w:line="276" w:lineRule="auto"/>
              <w:jc w:val="left"/>
            </w:pPr>
            <w:r>
              <w:rPr>
                <w:rFonts w:ascii="Calibri" w:hAnsi="Calibri"/>
                <w:b/>
                <w:color w:val="17243A"/>
                <w:sz w:val="18"/>
              </w:rPr>
              <w:t>Events attach to the wrong system</w:t>
            </w:r>
          </w:p>
        </w:tc>
        <w:tc>
          <w:tcPr>
            <w:tcW w:type="dxa" w:w="6760"/>
          </w:tcPr>
          <w:p>
            <w:pPr>
              <w:spacing w:before="0" w:after="0" w:line="276" w:lineRule="auto"/>
              <w:jc w:val="left"/>
            </w:pPr>
            <w:r>
              <w:rPr>
                <w:rFonts w:ascii="Calibri" w:hAnsi="Calibri"/>
                <w:b w:val="0"/>
                <w:color w:val="17243A"/>
                <w:sz w:val="18"/>
              </w:rPr>
              <w:t>Bind Northstar as the adapter default, or set the live registry UUID in AICT_SYSTEM_ID.</w:t>
            </w:r>
          </w:p>
        </w:tc>
      </w:tr>
      <w:tr>
        <w:trPr>
          <w:cantSplit/>
        </w:trPr>
        <w:tc>
          <w:tcPr>
            <w:tcW w:type="dxa" w:w="2600"/>
            <w:shd w:fill="F4F6F9" w:val="clear"/>
          </w:tcPr>
          <w:p>
            <w:pPr>
              <w:spacing w:before="0" w:after="0" w:line="276" w:lineRule="auto"/>
              <w:jc w:val="left"/>
            </w:pPr>
            <w:r>
              <w:rPr>
                <w:rFonts w:ascii="Calibri" w:hAnsi="Calibri"/>
                <w:b/>
                <w:color w:val="17243A"/>
                <w:sz w:val="18"/>
              </w:rPr>
              <w:t>Risky prompt is not blocked</w:t>
            </w:r>
          </w:p>
        </w:tc>
        <w:tc>
          <w:tcPr>
            <w:tcW w:type="dxa" w:w="6760"/>
            <w:shd w:fill="F4F6F9" w:val="clear"/>
          </w:tcPr>
          <w:p>
            <w:pPr>
              <w:spacing w:before="0" w:after="0" w:line="276" w:lineRule="auto"/>
              <w:jc w:val="left"/>
            </w:pPr>
            <w:r>
              <w:rPr>
                <w:rFonts w:ascii="Calibri" w:hAnsi="Calibri"/>
                <w:b w:val="0"/>
                <w:color w:val="17243A"/>
                <w:sz w:val="18"/>
              </w:rPr>
              <w:t>Apply Customer operations in Telemetry Policy and confirm Runtime blocking is enabled.</w:t>
            </w:r>
          </w:p>
        </w:tc>
      </w:tr>
      <w:tr>
        <w:trPr>
          <w:cantSplit/>
        </w:trPr>
        <w:tc>
          <w:tcPr>
            <w:tcW w:type="dxa" w:w="2600"/>
          </w:tcPr>
          <w:p>
            <w:pPr>
              <w:spacing w:before="0" w:after="0" w:line="276" w:lineRule="auto"/>
              <w:jc w:val="left"/>
            </w:pPr>
            <w:r>
              <w:rPr>
                <w:rFonts w:ascii="Calibri" w:hAnsi="Calibri"/>
                <w:b/>
                <w:color w:val="17243A"/>
                <w:sz w:val="18"/>
              </w:rPr>
              <w:t>Render is slow on the first turn</w:t>
            </w:r>
          </w:p>
        </w:tc>
        <w:tc>
          <w:tcPr>
            <w:tcW w:type="dxa" w:w="6760"/>
          </w:tcPr>
          <w:p>
            <w:pPr>
              <w:spacing w:before="0" w:after="0" w:line="276" w:lineRule="auto"/>
              <w:jc w:val="left"/>
            </w:pPr>
            <w:r>
              <w:rPr>
                <w:rFonts w:ascii="Calibri" w:hAnsi="Calibri"/>
                <w:b w:val="0"/>
                <w:color w:val="17243A"/>
                <w:sz w:val="18"/>
              </w:rPr>
              <w:t>Run npm run demo:remote:check before the room to wake the service and create a labelled synthetic event.</w:t>
            </w:r>
          </w:p>
        </w:tc>
      </w:tr>
      <w:tr>
        <w:trPr>
          <w:cantSplit/>
        </w:trPr>
        <w:tc>
          <w:tcPr>
            <w:tcW w:type="dxa" w:w="2600"/>
            <w:shd w:fill="F4F6F9" w:val="clear"/>
          </w:tcPr>
          <w:p>
            <w:pPr>
              <w:spacing w:before="0" w:after="0" w:line="276" w:lineRule="auto"/>
              <w:jc w:val="left"/>
            </w:pPr>
            <w:r>
              <w:rPr>
                <w:rFonts w:ascii="Calibri" w:hAnsi="Calibri"/>
                <w:b/>
                <w:color w:val="17243A"/>
                <w:sz w:val="18"/>
              </w:rPr>
              <w:t>Port 18080 is already in use</w:t>
            </w:r>
          </w:p>
        </w:tc>
        <w:tc>
          <w:tcPr>
            <w:tcW w:type="dxa" w:w="6760"/>
            <w:shd w:fill="F4F6F9" w:val="clear"/>
          </w:tcPr>
          <w:p>
            <w:pPr>
              <w:spacing w:before="0" w:after="0" w:line="276" w:lineRule="auto"/>
              <w:jc w:val="left"/>
            </w:pPr>
            <w:r>
              <w:rPr>
                <w:rFonts w:ascii="Calibri" w:hAnsi="Calibri"/>
                <w:b w:val="0"/>
                <w:color w:val="17243A"/>
                <w:sz w:val="18"/>
              </w:rPr>
              <w:t>The configurator selects 18081. Otherwise use the alternate-port command printed by the launcher; nothing is stopped automatically.</w:t>
            </w:r>
          </w:p>
        </w:tc>
      </w:tr>
      <w:tr>
        <w:trPr>
          <w:cantSplit/>
        </w:trPr>
        <w:tc>
          <w:tcPr>
            <w:tcW w:type="dxa" w:w="2600"/>
          </w:tcPr>
          <w:p>
            <w:pPr>
              <w:spacing w:before="0" w:after="0" w:line="276" w:lineRule="auto"/>
              <w:jc w:val="left"/>
            </w:pPr>
            <w:r>
              <w:rPr>
                <w:rFonts w:ascii="Calibri" w:hAnsi="Calibri"/>
                <w:b/>
                <w:color w:val="17243A"/>
                <w:sz w:val="18"/>
              </w:rPr>
              <w:t>The venue network fails</w:t>
            </w:r>
          </w:p>
        </w:tc>
        <w:tc>
          <w:tcPr>
            <w:tcW w:type="dxa" w:w="6760"/>
          </w:tcPr>
          <w:p>
            <w:pPr>
              <w:spacing w:before="0" w:after="0" w:line="276" w:lineRule="auto"/>
              <w:jc w:val="left"/>
            </w:pPr>
            <w:r>
              <w:rPr>
                <w:rFonts w:ascii="Calibri" w:hAnsi="Calibri"/>
                <w:b w:val="0"/>
                <w:color w:val="17243A"/>
                <w:sz w:val="18"/>
              </w:rPr>
              <w:t>Run npm run demo:pitch and clearly disclose that you switched to the deterministic offline environment.</w:t>
            </w:r>
          </w:p>
        </w:tc>
      </w:tr>
    </w:tbl>
    <w:p>
      <w:pPr>
        <w:spacing w:before="80" w:after="200" w:line="288" w:lineRule="auto"/>
        <w:ind w:left="230" w:right="173"/>
        <w:shd w:fill="FCEEEE" w:val="clear"/>
        <w:pBdr>
          <w:left w:val="single" w:sz="20" w:space="7" w:color="A03838"/>
        </w:pBdr>
      </w:pPr>
      <w:r>
        <w:rPr>
          <w:rFonts w:ascii="Calibri" w:hAnsi="Calibri"/>
          <w:b/>
          <w:color w:val="A03838"/>
          <w:sz w:val="19"/>
        </w:rPr>
        <w:t xml:space="preserve">CRITICAL SAFETY NOTE  </w:t>
      </w:r>
      <w:r>
        <w:rPr>
          <w:rFonts w:ascii="Calibri" w:hAnsi="Calibri"/>
          <w:color w:val="A03838"/>
          <w:sz w:val="21"/>
        </w:rPr>
        <w:t>Never run npm run demo:prep against Render, production, or a customer database. It truncates application tables before reseeding and belongs only on a disposable, isolated demo database.</w:t>
      </w:r>
    </w:p>
    <w:p>
      <w:pPr>
        <w:pStyle w:val="Heading2"/>
      </w:pPr>
      <w:r>
        <w:t>Five-minute version</w:t>
      </w:r>
    </w:p>
    <w:p>
      <w:pPr>
        <w:numPr>
          <w:ilvl w:val="0"/>
          <w:numId w:val="1"/>
        </w:numPr>
        <w:spacing w:before="0" w:after="80" w:line="300" w:lineRule="auto"/>
      </w:pPr>
      <w:r>
        <w:rPr>
          <w:rFonts w:ascii="Calibri" w:hAnsi="Calibri"/>
          <w:color w:val="17243A"/>
        </w:rPr>
        <w:t>0:00-0:40 - Point to the local-to-Render control path and startup event.</w:t>
      </w:r>
    </w:p>
    <w:p>
      <w:pPr>
        <w:numPr>
          <w:ilvl w:val="0"/>
          <w:numId w:val="1"/>
        </w:numPr>
        <w:spacing w:before="0" w:after="80" w:line="300" w:lineRule="auto"/>
      </w:pPr>
      <w:r>
        <w:rPr>
          <w:rFonts w:ascii="Calibri" w:hAnsi="Calibri"/>
          <w:color w:val="17243A"/>
        </w:rPr>
        <w:t>0:40-2:00 - Run the safe request and show hosted runtime evidence.</w:t>
      </w:r>
    </w:p>
    <w:p>
      <w:pPr>
        <w:numPr>
          <w:ilvl w:val="0"/>
          <w:numId w:val="1"/>
        </w:numPr>
        <w:spacing w:before="0" w:after="80" w:line="300" w:lineRule="auto"/>
      </w:pPr>
      <w:r>
        <w:rPr>
          <w:rFonts w:ascii="Calibri" w:hAnsi="Calibri"/>
          <w:color w:val="17243A"/>
        </w:rPr>
        <w:t>2:00-3:20 - Run the blocked request and point out that the model was skipped.</w:t>
      </w:r>
    </w:p>
    <w:p>
      <w:pPr>
        <w:numPr>
          <w:ilvl w:val="0"/>
          <w:numId w:val="1"/>
        </w:numPr>
        <w:spacing w:before="0" w:after="80" w:line="300" w:lineRule="auto"/>
      </w:pPr>
      <w:r>
        <w:rPr>
          <w:rFonts w:ascii="Calibri" w:hAnsi="Calibri"/>
          <w:color w:val="17243A"/>
        </w:rPr>
        <w:t>3:20-4:30 - Show the hosted incident and audit record.</w:t>
      </w:r>
    </w:p>
    <w:p>
      <w:pPr>
        <w:numPr>
          <w:ilvl w:val="0"/>
          <w:numId w:val="1"/>
        </w:numPr>
        <w:spacing w:before="0" w:after="80" w:line="300" w:lineRule="auto"/>
      </w:pPr>
      <w:r>
        <w:rPr>
          <w:rFonts w:ascii="Calibri" w:hAnsi="Calibri"/>
          <w:color w:val="17243A"/>
        </w:rPr>
        <w:t>4:30-5:00 - Close on faster adoption, enforced safeguards, and audit-ready evidence.</w:t>
      </w:r>
    </w:p>
    <w:p>
      <w:pPr>
        <w:pStyle w:val="Heading2"/>
      </w:pPr>
      <w:r>
        <w:t>If the venue network fails</w:t>
      </w:r>
    </w:p>
    <w:p>
      <w:pPr>
        <w:keepLines/>
        <w:spacing w:before="60" w:after="160" w:line="276" w:lineRule="auto"/>
        <w:ind w:left="230" w:right="173"/>
        <w:shd w:fill="07101F" w:val="clear"/>
      </w:pPr>
      <w:r>
        <w:rPr>
          <w:rFonts w:ascii="Consolas" w:hAnsi="Consolas"/>
          <w:color w:val="FFFFFF"/>
          <w:sz w:val="18"/>
        </w:rPr>
        <w:t>npm run demo:pitch</w:t>
      </w:r>
    </w:p>
    <w:p>
      <w:pPr>
        <w:keepLines w:val="0"/>
        <w:spacing w:before="0" w:after="120" w:line="300" w:lineRule="auto"/>
      </w:pPr>
      <w:r>
        <w:rPr>
          <w:rFonts w:ascii="Calibri" w:hAnsi="Calibri"/>
          <w:color w:val="17243A"/>
        </w:rPr>
        <w:t>Disclose: I am switching to the deterministic offline environment. The workflow is representative, but this part is no longer connected to Render.</w:t>
      </w:r>
    </w:p>
    <w:p>
      <w:pPr>
        <w:pStyle w:val="Heading2"/>
      </w:pPr>
      <w:r>
        <w:t>After the demo</w:t>
      </w:r>
    </w:p>
    <w:p>
      <w:pPr>
        <w:numPr>
          <w:ilvl w:val="0"/>
          <w:numId w:val="1"/>
        </w:numPr>
        <w:spacing w:before="0" w:after="80" w:line="300" w:lineRule="auto"/>
      </w:pPr>
      <w:r>
        <w:rPr>
          <w:rFonts w:ascii="Calibri" w:hAnsi="Calibri"/>
          <w:color w:val="17243A"/>
        </w:rPr>
        <w:t>Stop the local Northstar process with Ctrl+C.</w:t>
      </w:r>
    </w:p>
    <w:p>
      <w:pPr>
        <w:numPr>
          <w:ilvl w:val="0"/>
          <w:numId w:val="1"/>
        </w:numPr>
        <w:spacing w:before="0" w:after="80" w:line="300" w:lineRule="auto"/>
      </w:pPr>
      <w:r>
        <w:rPr>
          <w:rFonts w:ascii="Calibri" w:hAnsi="Calibri"/>
          <w:color w:val="17243A"/>
        </w:rPr>
        <w:t>Record the strongest audience reaction and the question that needs a better evidence-backed answer.</w:t>
      </w:r>
    </w:p>
    <w:p>
      <w:pPr>
        <w:numPr>
          <w:ilvl w:val="0"/>
          <w:numId w:val="1"/>
        </w:numPr>
        <w:spacing w:before="0" w:after="80" w:line="300" w:lineRule="auto"/>
      </w:pPr>
      <w:r>
        <w:rPr>
          <w:rFonts w:ascii="Calibri" w:hAnsi="Calibri"/>
          <w:color w:val="17243A"/>
        </w:rPr>
        <w:t>Propose one pilot workflow, responsible owner, control boundary, evidence requirement, and next working-session date.</w:t>
      </w:r>
    </w:p>
    <w:p>
      <w:pPr>
        <w:spacing w:before="80" w:after="160" w:line="288" w:lineRule="auto"/>
        <w:ind w:left="230" w:right="173"/>
        <w:shd w:fill="FFF7DF" w:val="clear"/>
        <w:pBdr>
          <w:left w:val="single" w:sz="20" w:space="7" w:color="8A6400"/>
        </w:pBdr>
      </w:pPr>
      <w:r>
        <w:rPr>
          <w:rFonts w:ascii="Calibri" w:hAnsi="Calibri"/>
          <w:b/>
          <w:color w:val="8A6400"/>
          <w:sz w:val="19"/>
        </w:rPr>
        <w:t xml:space="preserve">FINAL REMINDER  </w:t>
      </w:r>
      <w:r>
        <w:rPr>
          <w:rFonts w:ascii="Calibri" w:hAnsi="Calibri"/>
          <w:color w:val="17243A"/>
          <w:sz w:val="21"/>
        </w:rPr>
        <w:t>End after the CTA. Do not keep clicking once the connected proof has landed.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Calibri" w:hAnsi="Calibri"/>
        <w:color w:val="5F6D82"/>
        <w:sz w:val="16"/>
      </w:rPr>
      <w:t>Synthetic demo data only  |  July 2026</w:t>
    </w:r>
    <w:r>
      <w:rPr>
        <w:rFonts w:ascii="Calibri" w:hAnsi="Calibri"/>
        <w:color w:val="5F6D82"/>
        <w:sz w:val="16"/>
      </w:rPr>
      <w:tab/>
      <w:t xml:space="preserve">Page </w:t>
    </w:r>
    <w:r>
      <w:rPr>
        <w:rFonts w:ascii="Calibri" w:hAnsi="Calibri"/>
        <w:color w:val="5F6D82"/>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Pr>
    <w:r>
      <w:rPr>
        <w:rFonts w:ascii="Calibri" w:hAnsi="Calibri"/>
        <w:b/>
        <w:color w:val="07101F"/>
        <w:sz w:val="16"/>
      </w:rPr>
      <w:t>ACTURUS  |  AI CONTROL GRID</w:t>
    </w:r>
    <w:r>
      <w:rPr>
        <w:rFonts w:ascii="Calibri" w:hAnsi="Calibri"/>
        <w:b/>
        <w:color w:val="1599B8"/>
        <w:sz w:val="16"/>
      </w:rPr>
      <w:tab/>
      <w:t>PRESENTER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540"/>
        </w:tabs>
        <w:ind w:left="540" w:hanging="270"/>
      </w:pPr>
    </w:lvl>
  </w:abstractNum>
  <w:abstractNum w:abstractNumId="8">
    <w:nsid w:val="FFFFFF89"/>
    <w:multiLevelType w:val="singleLevel"/>
    <w:tmpl w:val="29761A62"/>
    <w:lvl w:ilvl="0">
      <w:start w:val="1"/>
      <w:numFmt w:val="bullet"/>
      <w:pStyle w:val="ListBullet"/>
      <w:lvlText w:val=""/>
      <w:lvlJc w:val="left"/>
      <w:pPr>
        <w:tabs>
          <w:tab w:val="num" w:pos="540"/>
        </w:tabs>
        <w:ind w:left="540" w:hanging="27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356CF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356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7101F"/>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pPr>
    <w:rPr>
      <w:rFonts w:asciiTheme="majorHAnsi" w:eastAsiaTheme="majorEastAsia" w:hAnsiTheme="majorHAnsi" w:cstheme="majorBidi" w:ascii="Calibri" w:hAnsi="Calibri"/>
      <w:i/>
      <w:iCs/>
      <w:color w:val="5F6D8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ACTURUS - Connected AI CONTROL GRID Demo Workflow</dc:title>
  <dc:subject>Presenter runbook for local Northstar connected to AI CONTROL GRID on Render</dc:subject>
  <dc:creator>ACTURUS</dc:creator>
  <cp:keywords>ACTURUS, AI CONTROL GRID, Northstar, Render, connected demo, presenter runbook</cp:keywords>
  <dc:description>generated by python-docx</dc:description>
  <cp:lastModifiedBy/>
  <cp:revision>1</cp:revision>
  <dcterms:created xsi:type="dcterms:W3CDTF">2013-12-23T23:15:00Z</dcterms:created>
  <dcterms:modified xsi:type="dcterms:W3CDTF">2013-12-23T23:15:00Z</dcterms:modified>
  <cp:category/>
</cp:coreProperties>
</file>