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f47e26b64fdd15ebee3cf3ca71dad73c973c46a"/>
    <w:p>
      <w:pPr>
        <w:pStyle w:val="Heading1"/>
      </w:pPr>
      <w:r>
        <w:t xml:space="preserve">Deep Research: A SaaS Product Idea That Maximizes Enterprise Productivity, Effectiveness, and Revenue</w:t>
      </w:r>
    </w:p>
    <w:bookmarkStart w:id="26" w:name="executive-summary"/>
    <w:p>
      <w:pPr>
        <w:pStyle w:val="Heading2"/>
      </w:pPr>
      <w:r>
        <w:t xml:space="preserve">Executive summary</w:t>
      </w:r>
    </w:p>
    <w:p>
      <w:pPr>
        <w:pStyle w:val="FirstParagraph"/>
      </w:pPr>
      <w:r>
        <w:t xml:space="preserve">A single SaaS idea stands out for 2026 because it combines (1) urgent regulatory pull, (2) executive-level risk/revenue stakes, and (3) direct enablement of productivity and AI scaling:</w:t>
      </w:r>
      <w:r>
        <w:t xml:space="preserve"> </w:t>
      </w:r>
      <w:r>
        <w:rPr>
          <w:b/>
          <w:bCs/>
        </w:rPr>
        <w:t xml:space="preserve">an Enterprise AI Governance &amp; Compliance Operations platform (“AI Control Tower”) focused on operationalizing the EU AI Act, NIST AI RMF, and ISO/IEC 42001 into day-to-day workflows while instrumenting real AI systems in production</w:t>
      </w:r>
      <w:r>
        <w:t xml:space="preserve">.</w:t>
      </w:r>
    </w:p>
    <w:p>
      <w:pPr>
        <w:pStyle w:val="BodyText"/>
      </w:pPr>
      <w:r>
        <w:t xml:space="preserve">This recommendation is driven by three converging realities:</w:t>
      </w:r>
    </w:p>
    <w:p>
      <w:pPr>
        <w:pStyle w:val="BodyText"/>
      </w:pPr>
      <w:r>
        <w:t xml:space="preserve">1)</w:t>
      </w:r>
      <w:r>
        <w:t xml:space="preserve"> </w:t>
      </w:r>
      <w:r>
        <w:rPr>
          <w:b/>
          <w:bCs/>
        </w:rPr>
        <w:t xml:space="preserve">Regulation is already “live” in meaningful parts and is moving toward stricter enforcement.</w:t>
      </w:r>
      <w:r>
        <w:t xml:space="preserve"> </w:t>
      </w:r>
      <w:r>
        <w:t xml:space="preserve">Under the EU AI Act’s phased application schedule,</w:t>
      </w:r>
      <w:r>
        <w:t xml:space="preserve"> </w:t>
      </w:r>
      <w:r>
        <w:rPr>
          <w:b/>
          <w:bCs/>
        </w:rPr>
        <w:t xml:space="preserve">Chapters I–II (including prohibited practices and AI literacy) applied from Feb 2, 2025</w:t>
      </w:r>
      <w:r>
        <w:t xml:space="preserve">, and additional obligations applied from Aug 2, 2025, with broader application scheduled from Aug 2, 2026 (while some product-related high-risk obligations extend further).</w:t>
      </w:r>
      <w:r>
        <w:t xml:space="preserve"> </w:t>
      </w:r>
      <w:hyperlink r:id="rId21">
        <w:r>
          <w:rPr>
            <w:rStyle w:val="Hyperlink"/>
          </w:rPr>
          <w:t xml:space="preserve">[1]</w:t>
        </w:r>
      </w:hyperlink>
      <w:r>
        <w:br/>
      </w:r>
      <w:r>
        <w:t xml:space="preserve">2)</w:t>
      </w:r>
      <w:r>
        <w:t xml:space="preserve"> </w:t>
      </w:r>
      <w:r>
        <w:rPr>
          <w:b/>
          <w:bCs/>
        </w:rPr>
        <w:t xml:space="preserve">Enterprises are adopting AI fast, but risk controls and oversight are inconsistent.</w:t>
      </w:r>
      <w:r>
        <w:t xml:space="preserve"> </w:t>
      </w:r>
      <w:r>
        <w:t xml:space="preserve">A major survey reports</w:t>
      </w:r>
      <w:r>
        <w:t xml:space="preserve"> </w:t>
      </w:r>
      <w:r>
        <w:rPr>
          <w:b/>
          <w:bCs/>
        </w:rPr>
        <w:t xml:space="preserve">78% of respondents say their organizations use AI in at least one business function</w:t>
      </w:r>
      <w:r>
        <w:t xml:space="preserve">, and</w:t>
      </w:r>
      <w:r>
        <w:t xml:space="preserve"> </w:t>
      </w:r>
      <w:r>
        <w:rPr>
          <w:b/>
          <w:bCs/>
        </w:rPr>
        <w:t xml:space="preserve">47% report at least one negative consequence from gen AI use</w:t>
      </w:r>
      <w:r>
        <w:t xml:space="preserve">; oversight of gen-AI outputs varies widely.</w:t>
      </w:r>
      <w:r>
        <w:t xml:space="preserve"> </w:t>
      </w:r>
      <w:hyperlink r:id="rId22">
        <w:r>
          <w:rPr>
            <w:rStyle w:val="Hyperlink"/>
          </w:rPr>
          <w:t xml:space="preserve">[2]</w:t>
        </w:r>
      </w:hyperlink>
      <w:r>
        <w:br/>
      </w:r>
      <w:r>
        <w:t xml:space="preserve">3)</w:t>
      </w:r>
      <w:r>
        <w:t xml:space="preserve"> </w:t>
      </w:r>
      <w:r>
        <w:rPr>
          <w:b/>
          <w:bCs/>
        </w:rPr>
        <w:t xml:space="preserve">Top companies will pay for platforms that prevent regulatory and reputational failures while accelerating approvals and deployment speed.</w:t>
      </w:r>
      <w:r>
        <w:t xml:space="preserve"> </w:t>
      </w:r>
      <w:r>
        <w:t xml:space="preserve">The EU AI Act includes</w:t>
      </w:r>
      <w:r>
        <w:t xml:space="preserve"> </w:t>
      </w:r>
      <w:r>
        <w:rPr>
          <w:b/>
          <w:bCs/>
        </w:rPr>
        <w:t xml:space="preserve">maximum penalties up to €35M or 7% of worldwide annual turnover (whichever is higher) for certain infringements</w:t>
      </w:r>
      <w:r>
        <w:t xml:space="preserve">, creating clear board-level urgency.</w:t>
      </w:r>
      <w:r>
        <w:t xml:space="preserve"> </w:t>
      </w:r>
      <w:hyperlink r:id="rId23">
        <w:r>
          <w:rPr>
            <w:rStyle w:val="Hyperlink"/>
          </w:rPr>
          <w:t xml:space="preserve">[3]</w:t>
        </w:r>
      </w:hyperlink>
    </w:p>
    <w:p>
      <w:pPr>
        <w:pStyle w:val="BodyText"/>
      </w:pPr>
      <w:r>
        <w:rPr>
          <w:b/>
          <w:bCs/>
        </w:rPr>
        <w:t xml:space="preserve">Recommended idea to develop (single best):</w:t>
      </w:r>
      <w:r>
        <w:br/>
      </w:r>
      <w:r>
        <w:rPr>
          <w:b/>
          <w:bCs/>
        </w:rPr>
        <w:t xml:space="preserve">AI Control Tower for Enterprise GenAI &amp; High-Risk AI</w:t>
      </w:r>
      <w:r>
        <w:t xml:space="preserve"> </w:t>
      </w:r>
      <w:r>
        <w:t xml:space="preserve">— a governance/assurance platform that:</w:t>
      </w:r>
      <w:r>
        <w:br/>
      </w:r>
      <w:r>
        <w:t xml:space="preserve">- Builds a continuously updated</w:t>
      </w:r>
      <w:r>
        <w:t xml:space="preserve"> </w:t>
      </w:r>
      <w:r>
        <w:rPr>
          <w:b/>
          <w:bCs/>
        </w:rPr>
        <w:t xml:space="preserve">inventory of AI systems</w:t>
      </w:r>
      <w:r>
        <w:t xml:space="preserve"> </w:t>
      </w:r>
      <w:r>
        <w:t xml:space="preserve">(including “shadow AI”),</w:t>
      </w:r>
      <w:r>
        <w:br/>
      </w:r>
      <w:r>
        <w:t xml:space="preserve">- Automates</w:t>
      </w:r>
      <w:r>
        <w:t xml:space="preserve"> </w:t>
      </w:r>
      <w:r>
        <w:rPr>
          <w:b/>
          <w:bCs/>
        </w:rPr>
        <w:t xml:space="preserve">risk classification + control mapping</w:t>
      </w:r>
      <w:r>
        <w:t xml:space="preserve"> </w:t>
      </w:r>
      <w:r>
        <w:t xml:space="preserve">to EU AI Act obligations and to widely used frameworks (NIST AI RMF, ISO/IEC 42001),</w:t>
      </w:r>
      <w:r>
        <w:br/>
      </w:r>
      <w:r>
        <w:t xml:space="preserve">- Implements</w:t>
      </w:r>
      <w:r>
        <w:t xml:space="preserve"> </w:t>
      </w:r>
      <w:r>
        <w:rPr>
          <w:b/>
          <w:bCs/>
        </w:rPr>
        <w:t xml:space="preserve">approval workflows + evidence automation</w:t>
      </w:r>
      <w:r>
        <w:t xml:space="preserve"> </w:t>
      </w:r>
      <w:r>
        <w:t xml:space="preserve">(audit-ready by design), and</w:t>
      </w:r>
      <w:r>
        <w:br/>
      </w:r>
      <w:r>
        <w:t xml:space="preserve">- Adds</w:t>
      </w:r>
      <w:r>
        <w:t xml:space="preserve"> </w:t>
      </w:r>
      <w:r>
        <w:rPr>
          <w:b/>
          <w:bCs/>
        </w:rPr>
        <w:t xml:space="preserve">runtime telemetry</w:t>
      </w:r>
      <w:r>
        <w:t xml:space="preserve"> </w:t>
      </w:r>
      <w:r>
        <w:t xml:space="preserve">(policy-as-code guardrails, logging, incident pathways) to prove ongoing compliance and operational safety.</w:t>
      </w:r>
    </w:p>
    <w:p>
      <w:pPr>
        <w:pStyle w:val="BodyText"/>
      </w:pPr>
      <w:r>
        <w:rPr>
          <w:b/>
          <w:bCs/>
        </w:rPr>
        <w:t xml:space="preserve">Most promising target verticals to start (ranked):</w:t>
      </w:r>
      <w:r>
        <w:t xml:space="preserve"> </w:t>
      </w:r>
      <w:r>
        <w:t xml:space="preserve">financial services, healthcare/life sciences, telecom/tech platforms, critical infrastructure &amp; utilities, and public sector—because these sectors intersect strongly with the AI Act’s “high-risk” areas (employment, essential services, healthcare, critical infrastructure, law enforcement/public services).</w:t>
      </w:r>
      <w:r>
        <w:t xml:space="preserve"> </w:t>
      </w:r>
      <w:hyperlink r:id="rId24">
        <w:r>
          <w:rPr>
            <w:rStyle w:val="Hyperlink"/>
          </w:rPr>
          <w:t xml:space="preserve">[4]</w:t>
        </w:r>
      </w:hyperlink>
    </w:p>
    <w:p>
      <w:pPr>
        <w:pStyle w:val="BodyText"/>
      </w:pPr>
      <w:r>
        <w:rPr>
          <w:b/>
          <w:bCs/>
        </w:rPr>
        <w:t xml:space="preserve">Revenue model and potential:</w:t>
      </w:r>
      <w:r>
        <w:t xml:space="preserve"> </w:t>
      </w:r>
      <w:r>
        <w:t xml:space="preserve">enterprise subscriptions (six-figure ACVs), plus implementation services and channel partnerships (cloud marketplaces, GRC ecosystems, consultancies). Marketplace distribution is particularly important for reach: Microsoft supports publishing SaaS offers via Partner Center, and AWS and Google Cloud provide formal SaaS listing/integration paths that can reduce procurement friction.</w:t>
      </w:r>
      <w:r>
        <w:t xml:space="preserve"> </w:t>
      </w:r>
      <w:hyperlink r:id="rId25">
        <w:r>
          <w:rPr>
            <w:rStyle w:val="Hyperlink"/>
          </w:rPr>
          <w:t xml:space="preserve">[5]</w:t>
        </w:r>
      </w:hyperlink>
    </w:p>
    <w:p>
      <w:pPr>
        <w:pStyle w:val="BodyText"/>
      </w:pPr>
      <w:r>
        <w:t xml:space="preserve">Unspecified inputs (explicit): target country, budget, team size, preferred tech stack, and customer segment (SMB vs enterprise). Assumptions used are stated in the next section.</w:t>
      </w:r>
    </w:p>
    <w:bookmarkEnd w:id="26"/>
    <w:bookmarkStart w:id="27" w:name="assumptions-and-evaluation-criteria"/>
    <w:p>
      <w:pPr>
        <w:pStyle w:val="Heading2"/>
      </w:pPr>
      <w:r>
        <w:t xml:space="preserve">Assumptions and evaluation criteria</w:t>
      </w:r>
    </w:p>
    <w:p>
      <w:pPr>
        <w:pStyle w:val="FirstParagraph"/>
      </w:pPr>
      <w:r>
        <w:t xml:space="preserve">Because key constraints are unspecified, the recommendation is optimized for the most common “serious SaaS builder” scenario: a small founding team targeting enterprise buyers with high willingness to pay.</w:t>
      </w:r>
    </w:p>
    <w:p>
      <w:pPr>
        <w:pStyle w:val="BodyText"/>
      </w:pPr>
      <w:r>
        <w:rPr>
          <w:b/>
          <w:bCs/>
        </w:rPr>
        <w:t xml:space="preserve">Unspecified → Assumptions used</w:t>
      </w:r>
      <w:r>
        <w:br/>
      </w:r>
      <w:r>
        <w:t xml:space="preserve">-</w:t>
      </w:r>
      <w:r>
        <w:t xml:space="preserve"> </w:t>
      </w:r>
      <w:r>
        <w:rPr>
          <w:b/>
          <w:bCs/>
        </w:rPr>
        <w:t xml:space="preserve">Target geography:</w:t>
      </w:r>
      <w:r>
        <w:t xml:space="preserve"> </w:t>
      </w:r>
      <w:r>
        <w:t xml:space="preserve">Unspecified → Assume initial go-to-market in the EU/UK (regulatory pull and proximity) plus US-headquartered multinationals operating in the EU. EU AI Act obligations apply based on placing AI systems on the market/putting them into service and use in the EU, making EU compliance relevant for many global firms.</w:t>
      </w:r>
      <w:r>
        <w:t xml:space="preserve"> </w:t>
      </w:r>
      <w:hyperlink r:id="rId24">
        <w:r>
          <w:rPr>
            <w:rStyle w:val="Hyperlink"/>
          </w:rPr>
          <w:t xml:space="preserve">[6]</w:t>
        </w:r>
      </w:hyperlink>
      <w:r>
        <w:br/>
      </w:r>
      <w:r>
        <w:t xml:space="preserve">-</w:t>
      </w:r>
      <w:r>
        <w:t xml:space="preserve"> </w:t>
      </w:r>
      <w:r>
        <w:rPr>
          <w:b/>
          <w:bCs/>
        </w:rPr>
        <w:t xml:space="preserve">Team/budget:</w:t>
      </w:r>
      <w:r>
        <w:t xml:space="preserve"> </w:t>
      </w:r>
      <w:r>
        <w:t xml:space="preserve">Unspecified → Assume 2–6 builders and need to ship an MVP in ≤16 weeks; prioritize managed cloud services and integration-first architecture.</w:t>
      </w:r>
      <w:r>
        <w:br/>
      </w:r>
      <w:r>
        <w:t xml:space="preserve">-</w:t>
      </w:r>
      <w:r>
        <w:t xml:space="preserve"> </w:t>
      </w:r>
      <w:r>
        <w:rPr>
          <w:b/>
          <w:bCs/>
        </w:rPr>
        <w:t xml:space="preserve">Buyer:</w:t>
      </w:r>
      <w:r>
        <w:t xml:space="preserve"> </w:t>
      </w:r>
      <w:r>
        <w:t xml:space="preserve">Assume enterprise and upper mid-market: compliance, risk, legal, CISO, and CIO/CTO organizations (budget holders for governance platforms).</w:t>
      </w:r>
      <w:r>
        <w:br/>
      </w:r>
      <w:r>
        <w:t xml:space="preserve">-</w:t>
      </w:r>
      <w:r>
        <w:t xml:space="preserve"> </w:t>
      </w:r>
      <w:r>
        <w:rPr>
          <w:b/>
          <w:bCs/>
        </w:rPr>
        <w:t xml:space="preserve">Success definition (matching your ask):</w:t>
      </w:r>
      <w:r>
        <w:t xml:space="preserve"> </w:t>
      </w:r>
      <w:r>
        <w:t xml:space="preserve">maximize</w:t>
      </w:r>
      <w:r>
        <w:t xml:space="preserve"> </w:t>
      </w:r>
      <w:r>
        <w:rPr>
          <w:b/>
          <w:bCs/>
        </w:rPr>
        <w:t xml:space="preserve">productivity</w:t>
      </w:r>
      <w:r>
        <w:t xml:space="preserve"> </w:t>
      </w:r>
      <w:r>
        <w:t xml:space="preserve">(faster approvals, less manual evidence),</w:t>
      </w:r>
      <w:r>
        <w:t xml:space="preserve"> </w:t>
      </w:r>
      <w:r>
        <w:rPr>
          <w:b/>
          <w:bCs/>
        </w:rPr>
        <w:t xml:space="preserve">effectiveness</w:t>
      </w:r>
      <w:r>
        <w:t xml:space="preserve"> </w:t>
      </w:r>
      <w:r>
        <w:t xml:space="preserve">(measurable reduction in AI risk incidents and audit friction), and</w:t>
      </w:r>
      <w:r>
        <w:t xml:space="preserve"> </w:t>
      </w:r>
      <w:r>
        <w:rPr>
          <w:b/>
          <w:bCs/>
        </w:rPr>
        <w:t xml:space="preserve">revenue potential</w:t>
      </w:r>
      <w:r>
        <w:t xml:space="preserve"> </w:t>
      </w:r>
      <w:r>
        <w:t xml:space="preserve">(high ACV + expansion).</w:t>
      </w:r>
    </w:p>
    <w:p>
      <w:pPr>
        <w:pStyle w:val="BodyText"/>
      </w:pPr>
      <w:r>
        <w:rPr>
          <w:b/>
          <w:bCs/>
        </w:rPr>
        <w:t xml:space="preserve">Decision criteria used to select the single idea</w:t>
      </w:r>
      <w:r>
        <w:br/>
      </w:r>
      <w:r>
        <w:t xml:space="preserve">- Regulatory pull and “deadline-driven” spend</w:t>
      </w:r>
      <w:r>
        <w:br/>
      </w:r>
      <w:r>
        <w:t xml:space="preserve">- Ability to demonstrate ROI in 1–2 quarters (risk + speed)</w:t>
      </w:r>
      <w:r>
        <w:br/>
      </w:r>
      <w:r>
        <w:t xml:space="preserve">- Enterprise reachability via partnerships/marketplaces</w:t>
      </w:r>
      <w:r>
        <w:br/>
      </w:r>
      <w:r>
        <w:t xml:space="preserve">- Potential for defensibility (data network, integrations, embedded workflows)</w:t>
      </w:r>
      <w:r>
        <w:br/>
      </w:r>
      <w:r>
        <w:t xml:space="preserve">- Time-to-market for a credible MVP (≤6 months to pilots)</w:t>
      </w:r>
    </w:p>
    <w:bookmarkEnd w:id="27"/>
    <w:bookmarkStart w:id="32" w:name="X3e645ad02a2243ce7a67f25cde8268c5563ea01"/>
    <w:p>
      <w:pPr>
        <w:pStyle w:val="Heading2"/>
      </w:pPr>
      <w:r>
        <w:t xml:space="preserve">Ranked target industry verticals and high-value pain points per vertical</w:t>
      </w:r>
    </w:p>
    <w:p>
      <w:pPr>
        <w:pStyle w:val="FirstParagraph"/>
      </w:pPr>
      <w:r>
        <w:t xml:space="preserve">The EU AI Act defines</w:t>
      </w:r>
      <w:r>
        <w:t xml:space="preserve"> </w:t>
      </w:r>
      <w:r>
        <w:rPr>
          <w:b/>
          <w:bCs/>
        </w:rPr>
        <w:t xml:space="preserve">high-risk AI</w:t>
      </w:r>
      <w:r>
        <w:t xml:space="preserve"> </w:t>
      </w:r>
      <w:r>
        <w:t xml:space="preserve">categories including (among others)</w:t>
      </w:r>
      <w:r>
        <w:t xml:space="preserve"> </w:t>
      </w:r>
      <w:r>
        <w:rPr>
          <w:b/>
          <w:bCs/>
        </w:rPr>
        <w:t xml:space="preserve">critical infrastructure, education, employment, essential private/public services, law enforcement, migration/border control, and legal interpretation/application</w:t>
      </w:r>
      <w:r>
        <w:t xml:space="preserve">, plus AI used in certain regulated products (e.g., medical devices, cars, aviation).</w:t>
      </w:r>
      <w:r>
        <w:t xml:space="preserve"> </w:t>
      </w:r>
      <w:hyperlink r:id="rId24">
        <w:r>
          <w:rPr>
            <w:rStyle w:val="Hyperlink"/>
          </w:rPr>
          <w:t xml:space="preserve">[4]</w:t>
        </w:r>
      </w:hyperlink>
      <w:r>
        <w:t xml:space="preserve"> </w:t>
      </w:r>
      <w:r>
        <w:t xml:space="preserve">These map naturally to the verticals below.</w:t>
      </w:r>
    </w:p>
    <w:bookmarkStart w:id="28" w:name="ranked-verticals-table"/>
    <w:p>
      <w:pPr>
        <w:pStyle w:val="Heading3"/>
      </w:pPr>
      <w:r>
        <w:t xml:space="preserve">Ranked verticals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Rank</w:t>
            </w:r>
          </w:p>
        </w:tc>
        <w:tc>
          <w:tcPr/>
          <w:p>
            <w:pPr>
              <w:pStyle w:val="Compact"/>
            </w:pPr>
            <w:r>
              <w:t xml:space="preserve">Vertical</w:t>
            </w:r>
          </w:p>
        </w:tc>
        <w:tc>
          <w:tcPr/>
          <w:p>
            <w:pPr>
              <w:pStyle w:val="Compact"/>
            </w:pPr>
            <w:r>
              <w:t xml:space="preserve">Why it’s high value now</w:t>
            </w:r>
          </w:p>
        </w:tc>
        <w:tc>
          <w:tcPr/>
          <w:p>
            <w:pPr>
              <w:pStyle w:val="Compact"/>
            </w:pPr>
            <w:r>
              <w:t xml:space="preserve">Highest willingness-to-pay buyer(s)</w:t>
            </w:r>
          </w:p>
        </w:tc>
        <w:tc>
          <w:tcPr/>
          <w:p>
            <w:pPr>
              <w:pStyle w:val="Compact"/>
            </w:pPr>
            <w:r>
              <w:t xml:space="preserve">AI Act linkage (examples)</w:t>
            </w:r>
          </w:p>
        </w:tc>
      </w:tr>
      <w:tr>
        <w:tc>
          <w:tcPr/>
          <w:p>
            <w:pPr>
              <w:pStyle w:val="Compact"/>
              <w:jc w:val="right"/>
            </w:pPr>
            <w:r>
              <w:t xml:space="preserve">1</w:t>
            </w:r>
          </w:p>
        </w:tc>
        <w:tc>
          <w:tcPr/>
          <w:p>
            <w:pPr>
              <w:pStyle w:val="Compact"/>
            </w:pPr>
            <w:r>
              <w:t xml:space="preserve">Financial services (banking, insurance, payments)</w:t>
            </w:r>
          </w:p>
        </w:tc>
        <w:tc>
          <w:tcPr/>
          <w:p>
            <w:pPr>
              <w:pStyle w:val="Compact"/>
            </w:pPr>
            <w:r>
              <w:t xml:space="preserve">Heavy model usage (credit, fraud, AML), strict risk governance culture, very high downside</w:t>
            </w:r>
          </w:p>
        </w:tc>
        <w:tc>
          <w:tcPr/>
          <w:p>
            <w:pPr>
              <w:pStyle w:val="Compact"/>
            </w:pPr>
            <w:r>
              <w:t xml:space="preserve">CRO, CISO, Model Risk/Compliance, CIO</w:t>
            </w:r>
          </w:p>
        </w:tc>
        <w:tc>
          <w:tcPr/>
          <w:p>
            <w:pPr>
              <w:pStyle w:val="Compact"/>
            </w:pPr>
            <w:r>
              <w:t xml:space="preserve">“Essential services” and access/eligibility decisions; high accountability expectations</w:t>
            </w:r>
            <w:r>
              <w:t xml:space="preserve"> </w:t>
            </w:r>
            <w:hyperlink r:id="rId24">
              <w:r>
                <w:rPr>
                  <w:rStyle w:val="Hyperlink"/>
                </w:rPr>
                <w:t xml:space="preserve">[7]</w:t>
              </w:r>
            </w:hyperlink>
          </w:p>
        </w:tc>
      </w:tr>
      <w:tr>
        <w:tc>
          <w:tcPr/>
          <w:p>
            <w:pPr>
              <w:pStyle w:val="Compact"/>
              <w:jc w:val="right"/>
            </w:pPr>
            <w:r>
              <w:t xml:space="preserve">2</w:t>
            </w:r>
          </w:p>
        </w:tc>
        <w:tc>
          <w:tcPr/>
          <w:p>
            <w:pPr>
              <w:pStyle w:val="Compact"/>
            </w:pPr>
            <w:r>
              <w:t xml:space="preserve">Healthcare &amp; life sciences</w:t>
            </w:r>
          </w:p>
        </w:tc>
        <w:tc>
          <w:tcPr/>
          <w:p>
            <w:pPr>
              <w:pStyle w:val="Compact"/>
            </w:pPr>
            <w:r>
              <w:t xml:space="preserve">Safety-critical + privacy-sensitive + high AI adoption (clinical ops, triage, devices)</w:t>
            </w:r>
          </w:p>
        </w:tc>
        <w:tc>
          <w:tcPr/>
          <w:p>
            <w:pPr>
              <w:pStyle w:val="Compact"/>
            </w:pPr>
            <w:r>
              <w:t xml:space="preserve">Compliance, Clinical Safety, CISO, CIO</w:t>
            </w:r>
          </w:p>
        </w:tc>
        <w:tc>
          <w:tcPr/>
          <w:p>
            <w:pPr>
              <w:pStyle w:val="Compact"/>
            </w:pPr>
            <w:r>
              <w:t xml:space="preserve">High-risk areas include healthcare; medical devices also referenced in product safety context</w:t>
            </w:r>
            <w:r>
              <w:t xml:space="preserve"> </w:t>
            </w:r>
            <w:hyperlink r:id="rId24">
              <w:r>
                <w:rPr>
                  <w:rStyle w:val="Hyperlink"/>
                </w:rPr>
                <w:t xml:space="preserve">[4]</w:t>
              </w:r>
            </w:hyperlink>
          </w:p>
        </w:tc>
      </w:tr>
      <w:tr>
        <w:tc>
          <w:tcPr/>
          <w:p>
            <w:pPr>
              <w:pStyle w:val="Compact"/>
              <w:jc w:val="right"/>
            </w:pPr>
            <w:r>
              <w:t xml:space="preserve">3</w:t>
            </w:r>
          </w:p>
        </w:tc>
        <w:tc>
          <w:tcPr/>
          <w:p>
            <w:pPr>
              <w:pStyle w:val="Compact"/>
            </w:pPr>
            <w:r>
              <w:t xml:space="preserve">Telecom, large tech platforms, enterprise software</w:t>
            </w:r>
          </w:p>
        </w:tc>
        <w:tc>
          <w:tcPr/>
          <w:p>
            <w:pPr>
              <w:pStyle w:val="Compact"/>
            </w:pPr>
            <w:r>
              <w:t xml:space="preserve">Rapid gen-AI rollout + high customer scrutiny + platform ecosystems</w:t>
            </w:r>
          </w:p>
        </w:tc>
        <w:tc>
          <w:tcPr/>
          <w:p>
            <w:pPr>
              <w:pStyle w:val="Compact"/>
            </w:pPr>
            <w:r>
              <w:t xml:space="preserve">CISO, Legal, Platform/AI Ops leaders</w:t>
            </w:r>
          </w:p>
        </w:tc>
        <w:tc>
          <w:tcPr/>
          <w:p>
            <w:pPr>
              <w:pStyle w:val="Compact"/>
            </w:pPr>
            <w:r>
              <w:t xml:space="preserve">Transparency obligations for AI-generated content; broad governance and controls expectation</w:t>
            </w:r>
            <w:r>
              <w:t xml:space="preserve"> </w:t>
            </w:r>
            <w:hyperlink r:id="rId24">
              <w:r>
                <w:rPr>
                  <w:rStyle w:val="Hyperlink"/>
                </w:rPr>
                <w:t xml:space="preserve">[6]</w:t>
              </w:r>
            </w:hyperlink>
          </w:p>
        </w:tc>
      </w:tr>
      <w:tr>
        <w:tc>
          <w:tcPr/>
          <w:p>
            <w:pPr>
              <w:pStyle w:val="Compact"/>
              <w:jc w:val="right"/>
            </w:pPr>
            <w:r>
              <w:t xml:space="preserve">4</w:t>
            </w:r>
          </w:p>
        </w:tc>
        <w:tc>
          <w:tcPr/>
          <w:p>
            <w:pPr>
              <w:pStyle w:val="Compact"/>
            </w:pPr>
            <w:r>
              <w:t xml:space="preserve">Critical infrastructure &amp; utilities (energy, water, transport ops)</w:t>
            </w:r>
          </w:p>
        </w:tc>
        <w:tc>
          <w:tcPr/>
          <w:p>
            <w:pPr>
              <w:pStyle w:val="Compact"/>
            </w:pPr>
            <w:r>
              <w:t xml:space="preserve">Operational risk, safety concerns, regulatory exposure</w:t>
            </w:r>
          </w:p>
        </w:tc>
        <w:tc>
          <w:tcPr/>
          <w:p>
            <w:pPr>
              <w:pStyle w:val="Compact"/>
            </w:pPr>
            <w:r>
              <w:t xml:space="preserve">COO, Risk, CISO</w:t>
            </w:r>
          </w:p>
        </w:tc>
        <w:tc>
          <w:tcPr/>
          <w:p>
            <w:pPr>
              <w:pStyle w:val="Compact"/>
            </w:pPr>
            <w:r>
              <w:t xml:space="preserve">“Management and operation of critical infrastructure” listed as high-risk area</w:t>
            </w:r>
            <w:r>
              <w:t xml:space="preserve"> </w:t>
            </w:r>
            <w:hyperlink r:id="rId24">
              <w:r>
                <w:rPr>
                  <w:rStyle w:val="Hyperlink"/>
                </w:rPr>
                <w:t xml:space="preserve">[4]</w:t>
              </w:r>
            </w:hyperlink>
          </w:p>
        </w:tc>
      </w:tr>
      <w:tr>
        <w:tc>
          <w:tcPr/>
          <w:p>
            <w:pPr>
              <w:pStyle w:val="Compact"/>
              <w:jc w:val="right"/>
            </w:pPr>
            <w:r>
              <w:t xml:space="preserve">5</w:t>
            </w:r>
          </w:p>
        </w:tc>
        <w:tc>
          <w:tcPr/>
          <w:p>
            <w:pPr>
              <w:pStyle w:val="Compact"/>
            </w:pPr>
            <w:r>
              <w:t xml:space="preserve">Public sector and regulated services</w:t>
            </w:r>
          </w:p>
        </w:tc>
        <w:tc>
          <w:tcPr/>
          <w:p>
            <w:pPr>
              <w:pStyle w:val="Compact"/>
            </w:pPr>
            <w:r>
              <w:t xml:space="preserve">Procurements require auditability; heightened fundamental-rights scrutiny</w:t>
            </w:r>
          </w:p>
        </w:tc>
        <w:tc>
          <w:tcPr/>
          <w:p>
            <w:pPr>
              <w:pStyle w:val="Compact"/>
            </w:pPr>
            <w:r>
              <w:t xml:space="preserve">Agency CIO/CISO, Procurement, Legal</w:t>
            </w:r>
          </w:p>
        </w:tc>
        <w:tc>
          <w:tcPr/>
          <w:p>
            <w:pPr>
              <w:pStyle w:val="Compact"/>
            </w:pPr>
            <w:r>
              <w:t xml:space="preserve">High-risk areas include public services; plus strong enforcement expectations</w:t>
            </w:r>
            <w:r>
              <w:t xml:space="preserve"> </w:t>
            </w:r>
            <w:hyperlink r:id="rId24">
              <w:r>
                <w:rPr>
                  <w:rStyle w:val="Hyperlink"/>
                </w:rPr>
                <w:t xml:space="preserve">[7]</w:t>
              </w:r>
            </w:hyperlink>
          </w:p>
        </w:tc>
      </w:tr>
      <w:tr>
        <w:tc>
          <w:tcPr/>
          <w:p>
            <w:pPr>
              <w:pStyle w:val="Compact"/>
              <w:jc w:val="right"/>
            </w:pPr>
            <w:r>
              <w:t xml:space="preserve">6</w:t>
            </w:r>
          </w:p>
        </w:tc>
        <w:tc>
          <w:tcPr/>
          <w:p>
            <w:pPr>
              <w:pStyle w:val="Compact"/>
            </w:pPr>
            <w:r>
              <w:t xml:space="preserve">HR tech / large employers</w:t>
            </w:r>
          </w:p>
        </w:tc>
        <w:tc>
          <w:tcPr/>
          <w:p>
            <w:pPr>
              <w:pStyle w:val="Compact"/>
            </w:pPr>
            <w:r>
              <w:t xml:space="preserve">Hiring &amp; worker management are in high-risk scope; huge reputational risks</w:t>
            </w:r>
          </w:p>
        </w:tc>
        <w:tc>
          <w:tcPr/>
          <w:p>
            <w:pPr>
              <w:pStyle w:val="Compact"/>
            </w:pPr>
            <w:r>
              <w:t xml:space="preserve">CHRO, Legal, Compliance</w:t>
            </w:r>
          </w:p>
        </w:tc>
        <w:tc>
          <w:tcPr/>
          <w:p>
            <w:pPr>
              <w:pStyle w:val="Compact"/>
            </w:pPr>
            <w:r>
              <w:t xml:space="preserve">“Employment, worker management and access to self-employment” listed as high-risk area</w:t>
            </w:r>
            <w:r>
              <w:t xml:space="preserve"> </w:t>
            </w:r>
            <w:hyperlink r:id="rId24">
              <w:r>
                <w:rPr>
                  <w:rStyle w:val="Hyperlink"/>
                </w:rPr>
                <w:t xml:space="preserve">[4]</w:t>
              </w:r>
            </w:hyperlink>
          </w:p>
        </w:tc>
      </w:tr>
      <w:tr>
        <w:tc>
          <w:tcPr/>
          <w:p>
            <w:pPr>
              <w:pStyle w:val="Compact"/>
              <w:jc w:val="right"/>
            </w:pPr>
            <w:r>
              <w:t xml:space="preserve">7</w:t>
            </w:r>
          </w:p>
        </w:tc>
        <w:tc>
          <w:tcPr/>
          <w:p>
            <w:pPr>
              <w:pStyle w:val="Compact"/>
            </w:pPr>
            <w:r>
              <w:t xml:space="preserve">Education &amp; training</w:t>
            </w:r>
          </w:p>
        </w:tc>
        <w:tc>
          <w:tcPr/>
          <w:p>
            <w:pPr>
              <w:pStyle w:val="Compact"/>
            </w:pPr>
            <w:r>
              <w:t xml:space="preserve">AI assessment and admissions create fairness/transparency issues</w:t>
            </w:r>
          </w:p>
        </w:tc>
        <w:tc>
          <w:tcPr/>
          <w:p>
            <w:pPr>
              <w:pStyle w:val="Compact"/>
            </w:pPr>
            <w:r>
              <w:t xml:space="preserve">Risk, Legal, CIO</w:t>
            </w:r>
          </w:p>
        </w:tc>
        <w:tc>
          <w:tcPr/>
          <w:p>
            <w:pPr>
              <w:pStyle w:val="Compact"/>
            </w:pPr>
            <w:r>
              <w:t xml:space="preserve">“Education and vocational training” listed as high-risk area</w:t>
            </w:r>
            <w:r>
              <w:t xml:space="preserve"> </w:t>
            </w:r>
            <w:hyperlink r:id="rId24">
              <w:r>
                <w:rPr>
                  <w:rStyle w:val="Hyperlink"/>
                </w:rPr>
                <w:t xml:space="preserve">[4]</w:t>
              </w:r>
            </w:hyperlink>
          </w:p>
        </w:tc>
      </w:tr>
    </w:tbl>
    <w:bookmarkEnd w:id="28"/>
    <w:bookmarkStart w:id="31" w:name="high-value-pain-points-by-vertical"/>
    <w:p>
      <w:pPr>
        <w:pStyle w:val="Heading3"/>
      </w:pPr>
      <w:r>
        <w:t xml:space="preserve">High-value pain points by vertical</w:t>
      </w:r>
    </w:p>
    <w:p>
      <w:pPr>
        <w:pStyle w:val="FirstParagraph"/>
      </w:pPr>
      <w:r>
        <w:t xml:space="preserve">Across verticals, the common “expensive problem” is not building AI—it is</w:t>
      </w:r>
      <w:r>
        <w:t xml:space="preserve"> </w:t>
      </w:r>
      <w:r>
        <w:rPr>
          <w:b/>
          <w:bCs/>
        </w:rPr>
        <w:t xml:space="preserve">getting AI approved, monitored, and defensible under scrutiny</w:t>
      </w:r>
      <w:r>
        <w:t xml:space="preserve">. Surveys show organizations are actively trying to mitigate gen-AI risks including inaccuracy, cybersecurity, IP infringement, regulatory compliance, and privacy, and nearly half report negative consequences from gen AI.</w:t>
      </w:r>
      <w:r>
        <w:t xml:space="preserve"> </w:t>
      </w:r>
      <w:hyperlink r:id="rId22">
        <w:r>
          <w:rPr>
            <w:rStyle w:val="Hyperlink"/>
          </w:rPr>
          <w:t xml:space="preserve">[2]</w:t>
        </w:r>
      </w:hyperlink>
    </w:p>
    <w:p>
      <w:pPr>
        <w:pStyle w:val="BodyText"/>
      </w:pPr>
      <w:r>
        <w:rPr>
          <w:b/>
          <w:bCs/>
        </w:rPr>
        <w:t xml:space="preserve">Financial services pain points</w:t>
      </w:r>
      <w:r>
        <w:br/>
      </w:r>
      <w:r>
        <w:t xml:space="preserve">- Fragmented AI inventory (models, agents, third-party AI features) and unclear ownership; governance often degenerates into spreadsheets and ad hoc committees.</w:t>
      </w:r>
      <w:r>
        <w:br/>
      </w:r>
      <w:r>
        <w:t xml:space="preserve">- Need for consistent, audit-ready evidence trails as regulators and internal model risk functions demand traceability (controls, approvals, monitoring).</w:t>
      </w:r>
      <w:r>
        <w:br/>
      </w:r>
      <w:r>
        <w:t xml:space="preserve">- AI spend is escalating; leaders increasingly need token/cost visibility and accountability structures aligned with FinOps-style practices in technology.</w:t>
      </w:r>
      <w:r>
        <w:t xml:space="preserve"> </w:t>
      </w:r>
      <w:hyperlink r:id="rId29">
        <w:r>
          <w:rPr>
            <w:rStyle w:val="Hyperlink"/>
          </w:rPr>
          <w:t xml:space="preserve">[8]</w:t>
        </w:r>
      </w:hyperlink>
    </w:p>
    <w:p>
      <w:pPr>
        <w:pStyle w:val="BodyText"/>
      </w:pPr>
      <w:r>
        <w:rPr>
          <w:b/>
          <w:bCs/>
        </w:rPr>
        <w:t xml:space="preserve">Healthcare &amp; life sciences pain points</w:t>
      </w:r>
      <w:r>
        <w:br/>
      </w:r>
      <w:r>
        <w:t xml:space="preserve">- Difficulty operationalizing safety/quality reviews across AI lifecycle and vendors (especially where AI is embedded into tools and workflows).</w:t>
      </w:r>
      <w:r>
        <w:br/>
      </w:r>
      <w:r>
        <w:t xml:space="preserve">- High sensitivity around privacy and incident response expectations, especially when generative outputs could influence users/patients; oversight of outputs varies widely in practice.</w:t>
      </w:r>
      <w:r>
        <w:t xml:space="preserve"> </w:t>
      </w:r>
      <w:hyperlink r:id="rId22">
        <w:r>
          <w:rPr>
            <w:rStyle w:val="Hyperlink"/>
          </w:rPr>
          <w:t xml:space="preserve">[2]</w:t>
        </w:r>
      </w:hyperlink>
    </w:p>
    <w:p>
      <w:pPr>
        <w:pStyle w:val="BodyText"/>
      </w:pPr>
      <w:r>
        <w:rPr>
          <w:b/>
          <w:bCs/>
        </w:rPr>
        <w:t xml:space="preserve">Telecom / tech platforms / enterprise software pain points</w:t>
      </w:r>
      <w:r>
        <w:br/>
      </w:r>
      <w:r>
        <w:t xml:space="preserve">- Scaling gen AI across internal and customer-facing use cases without centralized guardrails; inconsistent transparency controls for AI-generated content.</w:t>
      </w:r>
      <w:r>
        <w:t xml:space="preserve"> </w:t>
      </w:r>
      <w:hyperlink r:id="rId24">
        <w:r>
          <w:rPr>
            <w:rStyle w:val="Hyperlink"/>
          </w:rPr>
          <w:t xml:space="preserve">[4]</w:t>
        </w:r>
      </w:hyperlink>
      <w:r>
        <w:br/>
      </w:r>
      <w:r>
        <w:t xml:space="preserve">- Security questionnaires and customer due diligence increasingly demand evidence of AI governance and alignment to standards (NIST, ISO).</w:t>
      </w:r>
    </w:p>
    <w:p>
      <w:pPr>
        <w:pStyle w:val="BodyText"/>
      </w:pPr>
      <w:r>
        <w:rPr>
          <w:b/>
          <w:bCs/>
        </w:rPr>
        <w:t xml:space="preserve">Critical infrastructure &amp; utilities pain points</w:t>
      </w:r>
      <w:r>
        <w:br/>
      </w:r>
      <w:r>
        <w:t xml:space="preserve">- AI used in operational decision-making introduces safety and reliability challenges; governance must stay continuously updated, not point-in-time.</w:t>
      </w:r>
      <w:r>
        <w:br/>
      </w:r>
      <w:r>
        <w:t xml:space="preserve">- Need for “prove it” capabilities (monitoring + evidence) rather than policy PDFs.</w:t>
      </w:r>
    </w:p>
    <w:p>
      <w:pPr>
        <w:pStyle w:val="BodyText"/>
      </w:pPr>
      <w:r>
        <w:rPr>
          <w:b/>
          <w:bCs/>
        </w:rPr>
        <w:t xml:space="preserve">Public sector pain points</w:t>
      </w:r>
      <w:r>
        <w:br/>
      </w:r>
      <w:r>
        <w:t xml:space="preserve">- Procurement often requires demonstrable governance processes; auditability and traceability are mandatory for accountability.</w:t>
      </w:r>
      <w:r>
        <w:br/>
      </w:r>
      <w:r>
        <w:t xml:space="preserve">- Implementation timelines are moving, and legislative proposals (e.g., the EU “Digital Omnibus on AI”) can add uncertainty, increasing demand for tools that track obligations and keep programs aligned even as rules evolve.</w:t>
      </w:r>
      <w:r>
        <w:t xml:space="preserve"> </w:t>
      </w:r>
      <w:hyperlink r:id="rId30">
        <w:r>
          <w:rPr>
            <w:rStyle w:val="Hyperlink"/>
          </w:rPr>
          <w:t xml:space="preserve">[9]</w:t>
        </w:r>
      </w:hyperlink>
    </w:p>
    <w:bookmarkEnd w:id="31"/>
    <w:bookmarkEnd w:id="32"/>
    <w:bookmarkStart w:id="39" w:name="X6b025f0f7d3582ff5570afbd6c0298a22ae2932"/>
    <w:p>
      <w:pPr>
        <w:pStyle w:val="Heading2"/>
      </w:pPr>
      <w:r>
        <w:t xml:space="preserve">Shortlisted SaaS concepts and the single recommended idea</w:t>
      </w:r>
    </w:p>
    <w:bookmarkStart w:id="33" w:name="X2cb7a348af28256f70be8b6103526384a3ec21c"/>
    <w:p>
      <w:pPr>
        <w:pStyle w:val="Heading3"/>
      </w:pPr>
      <w:r>
        <w:t xml:space="preserve">The shortlist: one recommended idea and three strong alternates</w:t>
      </w:r>
    </w:p>
    <w:p>
      <w:pPr>
        <w:pStyle w:val="FirstParagraph"/>
      </w:pPr>
      <w:r>
        <w:rPr>
          <w:b/>
          <w:bCs/>
        </w:rPr>
        <w:t xml:space="preserve">Recommended (build this):</w:t>
      </w:r>
      <w:r>
        <w:br/>
      </w:r>
      <w:r>
        <w:t xml:space="preserve">1)</w:t>
      </w:r>
      <w:r>
        <w:t xml:space="preserve"> </w:t>
      </w:r>
      <w:r>
        <w:rPr>
          <w:b/>
          <w:bCs/>
        </w:rPr>
        <w:t xml:space="preserve">AI Control Tower for Enterprise GenAI &amp; High-Risk AI (Governance + Evidence + Runtime Telemetry)</w:t>
      </w:r>
    </w:p>
    <w:p>
      <w:pPr>
        <w:pStyle w:val="BodyText"/>
      </w:pPr>
      <w:r>
        <w:rPr>
          <w:b/>
          <w:bCs/>
        </w:rPr>
        <w:t xml:space="preserve">Alternates (strong, but rank lower):</w:t>
      </w:r>
      <w:r>
        <w:br/>
      </w:r>
      <w:r>
        <w:t xml:space="preserve">2)</w:t>
      </w:r>
      <w:r>
        <w:t xml:space="preserve"> </w:t>
      </w:r>
      <w:r>
        <w:rPr>
          <w:b/>
          <w:bCs/>
        </w:rPr>
        <w:t xml:space="preserve">RFP / Security Questionnaire Response Automation “Deal Desk Copilot”</w:t>
      </w:r>
      <w:r>
        <w:t xml:space="preserve"> </w:t>
      </w:r>
      <w:r>
        <w:t xml:space="preserve">(high productivity, proven spend; crowded)</w:t>
      </w:r>
      <w:r>
        <w:br/>
      </w:r>
      <w:r>
        <w:t xml:space="preserve">3)</w:t>
      </w:r>
      <w:r>
        <w:t xml:space="preserve"> </w:t>
      </w:r>
      <w:r>
        <w:rPr>
          <w:b/>
          <w:bCs/>
        </w:rPr>
        <w:t xml:space="preserve">AI FinOps for LLM Apps</w:t>
      </w:r>
      <w:r>
        <w:t xml:space="preserve"> </w:t>
      </w:r>
      <w:r>
        <w:t xml:space="preserve">(token/cost observability + chargeback + optimization; emerging and valuable)</w:t>
      </w:r>
      <w:r>
        <w:br/>
      </w:r>
      <w:r>
        <w:t xml:space="preserve">4)</w:t>
      </w:r>
      <w:r>
        <w:t xml:space="preserve"> </w:t>
      </w:r>
      <w:r>
        <w:rPr>
          <w:b/>
          <w:bCs/>
        </w:rPr>
        <w:t xml:space="preserve">Vendor AI Assurance Exchange</w:t>
      </w:r>
      <w:r>
        <w:t xml:space="preserve"> </w:t>
      </w:r>
      <w:r>
        <w:t xml:space="preserve">(third-party AI risk assessment and continuous assurance for suppliers; strong network effects but heavy go-to-market lift)</w:t>
      </w:r>
    </w:p>
    <w:bookmarkEnd w:id="33"/>
    <w:bookmarkStart w:id="36" w:name="X38b22e3105d3c019b4dfe56e432b52ffbab451e"/>
    <w:p>
      <w:pPr>
        <w:pStyle w:val="Heading3"/>
      </w:pPr>
      <w:r>
        <w:t xml:space="preserve">Comparative table across the requested criteria</w:t>
      </w:r>
    </w:p>
    <w:p>
      <w:pPr>
        <w:pStyle w:val="FirstParagraph"/>
      </w:pPr>
      <w:r>
        <w:t xml:space="preserve">Scoring is relative (1=low/unfavorable, 5=high/favorable) and is based on cited market signals plus explicit assumptions.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Idea</w:t>
            </w:r>
          </w:p>
        </w:tc>
        <w:tc>
          <w:tcPr/>
          <w:p>
            <w:pPr>
              <w:pStyle w:val="Compact"/>
              <w:jc w:val="right"/>
            </w:pPr>
            <w:r>
              <w:t xml:space="preserve">Market size (TAM potential)</w:t>
            </w:r>
          </w:p>
        </w:tc>
        <w:tc>
          <w:tcPr/>
          <w:p>
            <w:pPr>
              <w:pStyle w:val="Compact"/>
              <w:jc w:val="right"/>
            </w:pPr>
            <w:r>
              <w:t xml:space="preserve">Competition intensity</w:t>
            </w:r>
          </w:p>
        </w:tc>
        <w:tc>
          <w:tcPr/>
          <w:p>
            <w:pPr>
              <w:pStyle w:val="Compact"/>
              <w:jc w:val="right"/>
            </w:pPr>
            <w:r>
              <w:t xml:space="preserve">Technical complexity</w:t>
            </w:r>
          </w:p>
        </w:tc>
        <w:tc>
          <w:tcPr/>
          <w:p>
            <w:pPr>
              <w:pStyle w:val="Compact"/>
              <w:jc w:val="right"/>
            </w:pPr>
            <w:r>
              <w:t xml:space="preserve">Revenue potential (ACV)</w:t>
            </w:r>
          </w:p>
        </w:tc>
        <w:tc>
          <w:tcPr/>
          <w:p>
            <w:pPr>
              <w:pStyle w:val="Compact"/>
              <w:jc w:val="right"/>
            </w:pPr>
            <w:r>
              <w:t xml:space="preserve">Time-to-market (credible MVP)</w:t>
            </w:r>
          </w:p>
        </w:tc>
        <w:tc>
          <w:tcPr/>
          <w:p>
            <w:pPr>
              <w:pStyle w:val="Compact"/>
            </w:pPr>
            <w:r>
              <w:t xml:space="preserve">Why it ranks here</w:t>
            </w:r>
          </w:p>
        </w:tc>
      </w:tr>
      <w:tr>
        <w:tc>
          <w:tcPr/>
          <w:p>
            <w:pPr>
              <w:pStyle w:val="Compact"/>
            </w:pPr>
            <w:r>
              <w:t xml:space="preserve">AI Control Tower (recommended)</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pPr>
            <w:r>
              <w:t xml:space="preserve">Regulatory pull + board-level stakes (EU AI Act fines, deadlines) + expansion path into telemetry/cost.</w:t>
            </w:r>
            <w:r>
              <w:t xml:space="preserve"> </w:t>
            </w:r>
            <w:hyperlink r:id="rId23">
              <w:r>
                <w:rPr>
                  <w:rStyle w:val="Hyperlink"/>
                </w:rPr>
                <w:t xml:space="preserve">[10]</w:t>
              </w:r>
            </w:hyperlink>
          </w:p>
        </w:tc>
      </w:tr>
      <w:tr>
        <w:tc>
          <w:tcPr/>
          <w:p>
            <w:pPr>
              <w:pStyle w:val="Compact"/>
            </w:pPr>
            <w:r>
              <w:t xml:space="preserve">RFP / questionnaire automation</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pPr>
            <w:r>
              <w:t xml:space="preserve">Buyers pay (public benchmark: pricing starting around $20k/yr exists in category), but differentiation is harder.</w:t>
            </w:r>
            <w:r>
              <w:t xml:space="preserve"> </w:t>
            </w:r>
            <w:hyperlink r:id="rId34">
              <w:r>
                <w:rPr>
                  <w:rStyle w:val="Hyperlink"/>
                </w:rPr>
                <w:t xml:space="preserve">[11]</w:t>
              </w:r>
            </w:hyperlink>
          </w:p>
        </w:tc>
      </w:tr>
      <w:tr>
        <w:tc>
          <w:tcPr/>
          <w:p>
            <w:pPr>
              <w:pStyle w:val="Compact"/>
            </w:pPr>
            <w:r>
              <w:t xml:space="preserve">AI FinOps for LLM apps</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pPr>
            <w:r>
              <w:t xml:space="preserve">FinOps expansion includes AI; strong ROI story tied to token usage dashboards and pricing, but needs deep integrations.</w:t>
            </w:r>
            <w:r>
              <w:t xml:space="preserve"> </w:t>
            </w:r>
            <w:hyperlink r:id="rId35">
              <w:r>
                <w:rPr>
                  <w:rStyle w:val="Hyperlink"/>
                </w:rPr>
                <w:t xml:space="preserve">[12]</w:t>
              </w:r>
            </w:hyperlink>
          </w:p>
        </w:tc>
      </w:tr>
      <w:tr>
        <w:tc>
          <w:tcPr/>
          <w:p>
            <w:pPr>
              <w:pStyle w:val="Compact"/>
            </w:pPr>
            <w:r>
              <w:t xml:space="preserve">Vendor AI Assurance Exchange</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2</w:t>
            </w:r>
          </w:p>
        </w:tc>
        <w:tc>
          <w:tcPr/>
          <w:p>
            <w:pPr>
              <w:pStyle w:val="Compact"/>
            </w:pPr>
            <w:r>
              <w:t xml:space="preserve">Potential network effects and big enterprise budgets, but longer sales cycles and trust-building required. (Assumption-heavy)</w:t>
            </w:r>
          </w:p>
        </w:tc>
      </w:tr>
    </w:tbl>
    <w:bookmarkEnd w:id="36"/>
    <w:bookmarkStart w:id="38" w:name="X745ea5d0a1eb3d0d3fa21a76ff82fcddbbb8b5b"/>
    <w:p>
      <w:pPr>
        <w:pStyle w:val="Heading3"/>
      </w:pPr>
      <w:r>
        <w:t xml:space="preserve">Why the AI Control Tower is the best single bet</w:t>
      </w:r>
    </w:p>
    <w:p>
      <w:pPr>
        <w:pStyle w:val="FirstParagraph"/>
      </w:pPr>
      <w:r>
        <w:t xml:space="preserve">The AI Control Tower wins because it is a</w:t>
      </w:r>
      <w:r>
        <w:t xml:space="preserve"> </w:t>
      </w:r>
      <w:r>
        <w:rPr>
          <w:b/>
          <w:bCs/>
        </w:rPr>
        <w:t xml:space="preserve">compliance + acceleration</w:t>
      </w:r>
      <w:r>
        <w:t xml:space="preserve"> </w:t>
      </w:r>
      <w:r>
        <w:t xml:space="preserve">product, not “ethics theater.” It addresses:</w:t>
      </w:r>
    </w:p>
    <w:p>
      <w:pPr>
        <w:pStyle w:val="Compact"/>
        <w:numPr>
          <w:ilvl w:val="0"/>
          <w:numId w:val="1001"/>
        </w:numPr>
      </w:pPr>
      <w:r>
        <w:rPr>
          <w:b/>
          <w:bCs/>
        </w:rPr>
        <w:t xml:space="preserve">Hard external deadlines and penalties</w:t>
      </w:r>
      <w:r>
        <w:t xml:space="preserve"> </w:t>
      </w:r>
      <w:r>
        <w:t xml:space="preserve">(EU AI Act timeline + fines).</w:t>
      </w:r>
      <w:r>
        <w:t xml:space="preserve"> </w:t>
      </w:r>
      <w:hyperlink r:id="rId21">
        <w:r>
          <w:rPr>
            <w:rStyle w:val="Hyperlink"/>
          </w:rPr>
          <w:t xml:space="preserve">[1]</w:t>
        </w:r>
      </w:hyperlink>
    </w:p>
    <w:p>
      <w:pPr>
        <w:pStyle w:val="Compact"/>
        <w:numPr>
          <w:ilvl w:val="0"/>
          <w:numId w:val="1001"/>
        </w:numPr>
      </w:pPr>
      <w:r>
        <w:rPr>
          <w:b/>
          <w:bCs/>
        </w:rPr>
        <w:t xml:space="preserve">Internal operational friction</w:t>
      </w:r>
      <w:r>
        <w:t xml:space="preserve"> </w:t>
      </w:r>
      <w:r>
        <w:t xml:space="preserve">(approvals, reviews, evidence, and monitoring) at the time when AI adoption is broad and consequences are already being experienced.</w:t>
      </w:r>
      <w:r>
        <w:t xml:space="preserve"> </w:t>
      </w:r>
      <w:hyperlink r:id="rId22">
        <w:r>
          <w:rPr>
            <w:rStyle w:val="Hyperlink"/>
          </w:rPr>
          <w:t xml:space="preserve">[2]</w:t>
        </w:r>
      </w:hyperlink>
    </w:p>
    <w:p>
      <w:pPr>
        <w:pStyle w:val="Compact"/>
        <w:numPr>
          <w:ilvl w:val="0"/>
          <w:numId w:val="1001"/>
        </w:numPr>
      </w:pPr>
      <w:r>
        <w:rPr>
          <w:b/>
          <w:bCs/>
        </w:rPr>
        <w:t xml:space="preserve">Executive visibility</w:t>
      </w:r>
      <w:r>
        <w:t xml:space="preserve">: it becomes a system of record for “what AI do we run, who owns it, what risk class is it, and can we prove controls are working?”</w:t>
      </w:r>
    </w:p>
    <w:p>
      <w:pPr>
        <w:pStyle w:val="FirstParagraph"/>
      </w:pPr>
      <w:r>
        <w:t xml:space="preserve">Competitive platforms already exist (e.g., Credo AI</w:t>
      </w:r>
      <w:hyperlink r:id="rId24">
        <w:r>
          <w:rPr>
            <w:rStyle w:val="Hyperlink"/>
          </w:rPr>
          <w:t xml:space="preserve">[13]</w:t>
        </w:r>
      </w:hyperlink>
      <w:r>
        <w:t xml:space="preserve"> </w:t>
      </w:r>
      <w:r>
        <w:t xml:space="preserve">and Holistic AI</w:t>
      </w:r>
      <w:hyperlink r:id="rId24">
        <w:r>
          <w:rPr>
            <w:rStyle w:val="Hyperlink"/>
          </w:rPr>
          <w:t xml:space="preserve">[14]</w:t>
        </w:r>
      </w:hyperlink>
      <w:r>
        <w:t xml:space="preserve">), which signals market validation: these platforms position around discovering AI systems, managing risk, and producing compliance proof.</w:t>
      </w:r>
      <w:r>
        <w:t xml:space="preserve"> </w:t>
      </w:r>
      <w:hyperlink r:id="rId37">
        <w:r>
          <w:rPr>
            <w:rStyle w:val="Hyperlink"/>
          </w:rPr>
          <w:t xml:space="preserve">[15]</w:t>
        </w:r>
      </w:hyperlink>
      <w:r>
        <w:t xml:space="preserve"> </w:t>
      </w:r>
      <w:r>
        <w:t xml:space="preserve">The path to winning is to</w:t>
      </w:r>
      <w:r>
        <w:t xml:space="preserve"> </w:t>
      </w:r>
      <w:r>
        <w:rPr>
          <w:b/>
          <w:bCs/>
        </w:rPr>
        <w:t xml:space="preserve">differentiate on operational integration and defensible evidence</w:t>
      </w:r>
      <w:r>
        <w:t xml:space="preserve">, not just dashboards.</w:t>
      </w:r>
    </w:p>
    <w:bookmarkEnd w:id="38"/>
    <w:bookmarkEnd w:id="39"/>
    <w:bookmarkStart w:id="50" w:name="Xaa75a0c8dd19b8b7c7105986271d9e3f6cb03fd"/>
    <w:p>
      <w:pPr>
        <w:pStyle w:val="Heading2"/>
      </w:pPr>
      <w:r>
        <w:t xml:space="preserve">Recommended solution concept, MVP scope, and technical stack</w:t>
      </w:r>
    </w:p>
    <w:bookmarkStart w:id="40" w:name="X6e41f372e27f3ab54d7da48a008047579b2b72e"/>
    <w:p>
      <w:pPr>
        <w:pStyle w:val="Heading3"/>
      </w:pPr>
      <w:r>
        <w:t xml:space="preserve">Proposed SaaS concept: AI Control Tower for Enterprise GenAI &amp; High-Risk AI</w:t>
      </w:r>
    </w:p>
    <w:p>
      <w:pPr>
        <w:pStyle w:val="FirstParagraph"/>
      </w:pPr>
      <w:r>
        <w:rPr>
          <w:b/>
          <w:bCs/>
        </w:rPr>
        <w:t xml:space="preserve">One-sentence positioning:</w:t>
      </w:r>
      <w:r>
        <w:br/>
      </w:r>
      <w:r>
        <w:t xml:space="preserve">A compliance-and-velocity platform that turns AI governance from spreadsheets into</w:t>
      </w:r>
      <w:r>
        <w:t xml:space="preserve"> </w:t>
      </w:r>
      <w:r>
        <w:rPr>
          <w:b/>
          <w:bCs/>
        </w:rPr>
        <w:t xml:space="preserve">instrumented, auditable operations</w:t>
      </w:r>
      <w:r>
        <w:t xml:space="preserve">, aligned to the EU AI Act’s phased obligations and to widely used risk/management frameworks in the US and globally (NIST AI RMF, ISO/IEC 42001).</w:t>
      </w:r>
      <w:r>
        <w:t xml:space="preserve"> </w:t>
      </w:r>
      <w:hyperlink r:id="rId21">
        <w:r>
          <w:rPr>
            <w:rStyle w:val="Hyperlink"/>
          </w:rPr>
          <w:t xml:space="preserve">[16]</w:t>
        </w:r>
      </w:hyperlink>
    </w:p>
    <w:p>
      <w:pPr>
        <w:pStyle w:val="BodyText"/>
      </w:pPr>
      <w:r>
        <w:rPr>
          <w:b/>
          <w:bCs/>
        </w:rPr>
        <w:t xml:space="preserve">Primary buyers and champions</w:t>
      </w:r>
      <w:r>
        <w:br/>
      </w:r>
      <w:r>
        <w:t xml:space="preserve">- Economic buyer: Chief Risk/Compliance, CISO, CIO/CTO</w:t>
      </w:r>
      <w:r>
        <w:br/>
      </w:r>
      <w:r>
        <w:t xml:space="preserve">- Champions: AI platform leader, Responsible AI lead, Model Risk, Security engineering</w:t>
      </w:r>
      <w:r>
        <w:br/>
      </w:r>
      <w:r>
        <w:t xml:space="preserve">- Key stakeholders: Legal, HR (for “employment” use cases), Procurement, Internal Audit</w:t>
      </w:r>
    </w:p>
    <w:bookmarkEnd w:id="40"/>
    <w:bookmarkStart w:id="43" w:name="X14467f8f554a083fd17af8c0997c175df9e7d7f"/>
    <w:p>
      <w:pPr>
        <w:pStyle w:val="Heading3"/>
      </w:pPr>
      <w:r>
        <w:t xml:space="preserve">MVP scope: what to ship in the first 12–16 weeks</w:t>
      </w:r>
    </w:p>
    <w:p>
      <w:pPr>
        <w:pStyle w:val="FirstParagraph"/>
      </w:pPr>
      <w:r>
        <w:t xml:space="preserve">A credible MVP for enterprises must solve a narrow but painful slice:</w:t>
      </w:r>
      <w:r>
        <w:t xml:space="preserve"> </w:t>
      </w:r>
      <w:r>
        <w:rPr>
          <w:b/>
          <w:bCs/>
        </w:rPr>
        <w:t xml:space="preserve">AI inventory + risk classification + approval workflow + evidence export</w:t>
      </w:r>
      <w:r>
        <w:t xml:space="preserve">, with one “must-have” integration path.</w:t>
      </w:r>
    </w:p>
    <w:p>
      <w:pPr>
        <w:pStyle w:val="BodyText"/>
      </w:pPr>
      <w:r>
        <w:rPr>
          <w:b/>
          <w:bCs/>
        </w:rPr>
        <w:t xml:space="preserve">MVP modules</w:t>
      </w:r>
      <w:r>
        <w:br/>
      </w:r>
      <w:r>
        <w:t xml:space="preserve">1)</w:t>
      </w:r>
      <w:r>
        <w:t xml:space="preserve"> </w:t>
      </w:r>
      <w:r>
        <w:rPr>
          <w:b/>
          <w:bCs/>
        </w:rPr>
        <w:t xml:space="preserve">AI System Registry (inventory as system of record)</w:t>
      </w:r>
      <w:r>
        <w:br/>
      </w:r>
      <w:r>
        <w:t xml:space="preserve">- Capture: use case, owner, vendor/model, data sensitivity, deployment context, geography, purpose.</w:t>
      </w:r>
      <w:r>
        <w:br/>
      </w:r>
      <w:r>
        <w:t xml:space="preserve">- Tie each system to a “risk class” and required controls (policy mapping).</w:t>
      </w:r>
      <w:r>
        <w:br/>
      </w:r>
      <w:r>
        <w:t xml:space="preserve">2)</w:t>
      </w:r>
      <w:r>
        <w:t xml:space="preserve"> </w:t>
      </w:r>
      <w:r>
        <w:rPr>
          <w:b/>
          <w:bCs/>
        </w:rPr>
        <w:t xml:space="preserve">EU AI Act + NIST + ISO control mapping (minimum viable compliance)</w:t>
      </w:r>
      <w:r>
        <w:br/>
      </w:r>
      <w:r>
        <w:t xml:space="preserve">- Provide control checklists and evidence placeholders mapped to:</w:t>
      </w:r>
      <w:r>
        <w:br/>
      </w:r>
      <w:r>
        <w:t xml:space="preserve">- EU AI Act high-risk areas and transparency concepts (where applicable).</w:t>
      </w:r>
      <w:r>
        <w:t xml:space="preserve"> </w:t>
      </w:r>
      <w:hyperlink r:id="rId24">
        <w:r>
          <w:rPr>
            <w:rStyle w:val="Hyperlink"/>
          </w:rPr>
          <w:t xml:space="preserve">[7]</w:t>
        </w:r>
      </w:hyperlink>
      <w:r>
        <w:br/>
      </w:r>
      <w:r>
        <w:t xml:space="preserve">- NIST AI RMF functions (GOVERN, MAP, MEASURE, MANAGE).</w:t>
      </w:r>
      <w:r>
        <w:t xml:space="preserve"> </w:t>
      </w:r>
      <w:hyperlink r:id="rId41">
        <w:r>
          <w:rPr>
            <w:rStyle w:val="Hyperlink"/>
          </w:rPr>
          <w:t xml:space="preserve">[17]</w:t>
        </w:r>
      </w:hyperlink>
      <w:r>
        <w:br/>
      </w:r>
      <w:r>
        <w:t xml:space="preserve">- ISO/IEC 42001 AIMS concepts (AI management system).</w:t>
      </w:r>
      <w:r>
        <w:t xml:space="preserve"> </w:t>
      </w:r>
      <w:hyperlink r:id="rId42">
        <w:r>
          <w:rPr>
            <w:rStyle w:val="Hyperlink"/>
          </w:rPr>
          <w:t xml:space="preserve">[18]</w:t>
        </w:r>
      </w:hyperlink>
      <w:r>
        <w:br/>
      </w:r>
      <w:r>
        <w:t xml:space="preserve">3)</w:t>
      </w:r>
      <w:r>
        <w:t xml:space="preserve"> </w:t>
      </w:r>
      <w:r>
        <w:rPr>
          <w:b/>
          <w:bCs/>
        </w:rPr>
        <w:t xml:space="preserve">Workflow engine (approvals + accountability)</w:t>
      </w:r>
      <w:r>
        <w:br/>
      </w:r>
      <w:r>
        <w:t xml:space="preserve">- “Submit for review” → automated routing to Legal/Security/Risk → decision + required mitigations + sign-off.</w:t>
      </w:r>
      <w:r>
        <w:br/>
      </w:r>
      <w:r>
        <w:t xml:space="preserve">4)</w:t>
      </w:r>
      <w:r>
        <w:t xml:space="preserve"> </w:t>
      </w:r>
      <w:r>
        <w:rPr>
          <w:b/>
          <w:bCs/>
        </w:rPr>
        <w:t xml:space="preserve">Evidence vault + audit exports</w:t>
      </w:r>
      <w:r>
        <w:br/>
      </w:r>
      <w:r>
        <w:t xml:space="preserve">- Versioned control evidence (policies, test reports, red-team artifacts, monitoring metrics).</w:t>
      </w:r>
      <w:r>
        <w:br/>
      </w:r>
      <w:r>
        <w:t xml:space="preserve">5)</w:t>
      </w:r>
      <w:r>
        <w:t xml:space="preserve"> </w:t>
      </w:r>
      <w:r>
        <w:rPr>
          <w:b/>
          <w:bCs/>
        </w:rPr>
        <w:t xml:space="preserve">One integration path that proves you’re real</w:t>
      </w:r>
      <w:r>
        <w:br/>
      </w:r>
      <w:r>
        <w:t xml:space="preserve">- Start with ticketing/workflow integration (e.g., Jira/ServiceNow-style flows) or an LLM gateway integration for runtime logs. This is a product decision based on your first design partners.</w:t>
      </w:r>
    </w:p>
    <w:bookmarkEnd w:id="43"/>
    <w:bookmarkStart w:id="48" w:name="technical-stack-suggestions"/>
    <w:p>
      <w:pPr>
        <w:pStyle w:val="Heading3"/>
      </w:pPr>
      <w:r>
        <w:t xml:space="preserve">Technical stack suggestions</w:t>
      </w:r>
    </w:p>
    <w:p>
      <w:pPr>
        <w:pStyle w:val="FirstParagraph"/>
      </w:pPr>
      <w:r>
        <w:t xml:space="preserve">No constraints were specified, so the recommendations favor enterprise readiness (security, audit logging, SSO, scalability) and fast iteration.</w:t>
      </w:r>
    </w:p>
    <w:p>
      <w:pPr>
        <w:pStyle w:val="BodyText"/>
      </w:pPr>
      <w:r>
        <w:rPr>
          <w:b/>
          <w:bCs/>
        </w:rPr>
        <w:t xml:space="preserve">Reference architecture (pragmatic and enterprise-friendly)</w:t>
      </w:r>
      <w:r>
        <w:br/>
      </w:r>
      <w:r>
        <w:t xml:space="preserve">- Frontend: React + TypeScript</w:t>
      </w:r>
      <w:r>
        <w:br/>
      </w:r>
      <w:r>
        <w:t xml:space="preserve">- Backend: TypeScript (Node.js) for core APIs + Python service for risk scoring, document extraction, and policy mapping automation</w:t>
      </w:r>
      <w:r>
        <w:br/>
      </w:r>
      <w:r>
        <w:t xml:space="preserve">- Data: PostgreSQL for system-of-record, plus a search index (OpenSearch/Elasticsearch) for fast evidence retrieval</w:t>
      </w:r>
      <w:r>
        <w:br/>
      </w:r>
      <w:r>
        <w:t xml:space="preserve">- Eventing: Kafka or cloud-native queues for audit events and integration webhooks</w:t>
      </w:r>
      <w:r>
        <w:br/>
      </w:r>
      <w:r>
        <w:t xml:space="preserve">- AuthN/AuthZ: SSO via OIDC; token-based auth via OAuth 2.0; enterprise provisioning via SCIM</w:t>
      </w:r>
      <w:r>
        <w:br/>
      </w:r>
      <w:r>
        <w:t xml:space="preserve">- OAuth 2.0 is the industry-standard authorization framework.</w:t>
      </w:r>
      <w:r>
        <w:t xml:space="preserve"> </w:t>
      </w:r>
      <w:hyperlink r:id="rId44">
        <w:r>
          <w:rPr>
            <w:rStyle w:val="Hyperlink"/>
          </w:rPr>
          <w:t xml:space="preserve">[19]</w:t>
        </w:r>
      </w:hyperlink>
      <w:r>
        <w:br/>
      </w:r>
      <w:r>
        <w:t xml:space="preserve">- OpenID Connect provides authentication built on OAuth 2.0.</w:t>
      </w:r>
      <w:r>
        <w:t xml:space="preserve"> </w:t>
      </w:r>
      <w:hyperlink r:id="rId45">
        <w:r>
          <w:rPr>
            <w:rStyle w:val="Hyperlink"/>
          </w:rPr>
          <w:t xml:space="preserve">[20]</w:t>
        </w:r>
      </w:hyperlink>
      <w:r>
        <w:br/>
      </w:r>
      <w:r>
        <w:t xml:space="preserve">- SCIM standardizes cross-domain identity management for provisioning.</w:t>
      </w:r>
      <w:r>
        <w:t xml:space="preserve"> </w:t>
      </w:r>
      <w:hyperlink r:id="rId46">
        <w:r>
          <w:rPr>
            <w:rStyle w:val="Hyperlink"/>
          </w:rPr>
          <w:t xml:space="preserve">[21]</w:t>
        </w:r>
      </w:hyperlink>
      <w:r>
        <w:br/>
      </w:r>
      <w:r>
        <w:t xml:space="preserve">- API description: OpenAPI 3.1 for partner-facing integrations and SDK generation.</w:t>
      </w:r>
      <w:r>
        <w:t xml:space="preserve"> </w:t>
      </w:r>
      <w:hyperlink r:id="rId47">
        <w:r>
          <w:rPr>
            <w:rStyle w:val="Hyperlink"/>
          </w:rPr>
          <w:t xml:space="preserve">[22]</w:t>
        </w:r>
      </w:hyperlink>
      <w:r>
        <w:br/>
      </w:r>
      <w:r>
        <w:t xml:space="preserve">- Hosting: start single-cloud (AWS/Azure/GCP) with strong isolation and logging; expand to multi-region if demanded.</w:t>
      </w:r>
    </w:p>
    <w:bookmarkEnd w:id="48"/>
    <w:bookmarkStart w:id="49" w:name="Xbcef30aff2a66721583c579af8fd63e095c162d"/>
    <w:p>
      <w:pPr>
        <w:pStyle w:val="Heading3"/>
      </w:pPr>
      <w:r>
        <w:t xml:space="preserve">Differentiation and defensibility: how to win against existing platforms</w:t>
      </w:r>
    </w:p>
    <w:p>
      <w:pPr>
        <w:pStyle w:val="FirstParagraph"/>
      </w:pPr>
      <w:r>
        <w:t xml:space="preserve">To be “highly noticeable” to top companies, you need a wedge that incumbents can’t easily copy without re-architecting.</w:t>
      </w:r>
    </w:p>
    <w:p>
      <w:pPr>
        <w:pStyle w:val="BodyText"/>
      </w:pPr>
      <w:r>
        <w:rPr>
          <w:b/>
          <w:bCs/>
        </w:rPr>
        <w:t xml:space="preserve">Defensible wedge: “Evidence-grade telemetry”</w:t>
      </w:r>
      <w:r>
        <w:br/>
      </w:r>
      <w:r>
        <w:t xml:space="preserve">Most governance tools can store documents. Fewer can</w:t>
      </w:r>
      <w:r>
        <w:t xml:space="preserve"> </w:t>
      </w:r>
      <w:r>
        <w:rPr>
          <w:b/>
          <w:bCs/>
        </w:rPr>
        <w:t xml:space="preserve">prove what happened at runtime</w:t>
      </w:r>
      <w:r>
        <w:t xml:space="preserve"> </w:t>
      </w:r>
      <w:r>
        <w:t xml:space="preserve">and map it to obligations and controls. The defensible asset is an</w:t>
      </w:r>
      <w:r>
        <w:t xml:space="preserve"> </w:t>
      </w:r>
      <w:r>
        <w:rPr>
          <w:b/>
          <w:bCs/>
        </w:rPr>
        <w:t xml:space="preserve">evidence graph</w:t>
      </w:r>
      <w:r>
        <w:t xml:space="preserve"> </w:t>
      </w:r>
      <w:r>
        <w:t xml:space="preserve">linking:</w:t>
      </w:r>
    </w:p>
    <w:p>
      <w:pPr>
        <w:pStyle w:val="BodyText"/>
      </w:pPr>
      <w:r>
        <w:t xml:space="preserve">AI system → owner → risk classification → required controls → implementation artifacts → runtime monitoring signals → incidents → corrective actions.</w:t>
      </w:r>
    </w:p>
    <w:p>
      <w:pPr>
        <w:pStyle w:val="BodyText"/>
      </w:pPr>
      <w:r>
        <w:t xml:space="preserve">This becomes your moat: deeply integrated telemetry and workflows produce proprietary “governance exhaust” that raises switching costs.</w:t>
      </w:r>
    </w:p>
    <w:p>
      <w:pPr>
        <w:pStyle w:val="BodyText"/>
      </w:pPr>
      <w:r>
        <w:rPr>
          <w:b/>
          <w:bCs/>
        </w:rPr>
        <w:t xml:space="preserve">Concrete differentiators to implement (product, not marketing)</w:t>
      </w:r>
      <w:r>
        <w:br/>
      </w:r>
      <w:r>
        <w:t xml:space="preserve">- “Policy-as-code” guardrails: enforce and log key policies (PII handling, restricted prompts, output labeling rules where relevant).</w:t>
      </w:r>
      <w:r>
        <w:br/>
      </w:r>
      <w:r>
        <w:t xml:space="preserve">- Continuous monitoring hooks: drift/behavior checks and alerting tied to governance and incident response.</w:t>
      </w:r>
      <w:r>
        <w:br/>
      </w:r>
      <w:r>
        <w:t xml:space="preserve">- Fast audits: one-click exports aligned to internal audit, regulators, and customer due diligence.</w:t>
      </w:r>
    </w:p>
    <w:bookmarkEnd w:id="49"/>
    <w:bookmarkEnd w:id="50"/>
    <w:bookmarkStart w:id="57" w:name="X13716d7d136f5fb06ae7fd83430bf2aa17d9108"/>
    <w:p>
      <w:pPr>
        <w:pStyle w:val="Heading2"/>
      </w:pPr>
      <w:r>
        <w:t xml:space="preserve">Regulatory, compliance, and integration strategy</w:t>
      </w:r>
    </w:p>
    <w:bookmarkStart w:id="55" w:name="Xe27b8a824abf27330741805897a513aa37f4ddf"/>
    <w:p>
      <w:pPr>
        <w:pStyle w:val="Heading3"/>
      </w:pPr>
      <w:r>
        <w:t xml:space="preserve">Regulatory/compliance considerations you must design for</w:t>
      </w:r>
    </w:p>
    <w:p>
      <w:pPr>
        <w:pStyle w:val="FirstParagraph"/>
      </w:pPr>
      <w:r>
        <w:rPr>
          <w:b/>
          <w:bCs/>
        </w:rPr>
        <w:t xml:space="preserve">EU AI Act reality (as of March 6, 2026)</w:t>
      </w:r>
      <w:r>
        <w:br/>
      </w:r>
      <w:r>
        <w:t xml:space="preserve">- The AI Act has phased application dates; prohibited practices and AI literacy already applied from Feb 2, 2025, and additional obligations applied from Aug 2, 2025.</w:t>
      </w:r>
      <w:r>
        <w:t xml:space="preserve"> </w:t>
      </w:r>
      <w:hyperlink r:id="rId21">
        <w:r>
          <w:rPr>
            <w:rStyle w:val="Hyperlink"/>
          </w:rPr>
          <w:t xml:space="preserve">[23]</w:t>
        </w:r>
      </w:hyperlink>
      <w:r>
        <w:br/>
      </w:r>
      <w:r>
        <w:t xml:space="preserve">- High-risk areas include critical infrastructure, education, employment, essential services, law enforcement, migration/border control, and legal interpretation/application.</w:t>
      </w:r>
      <w:r>
        <w:t xml:space="preserve"> </w:t>
      </w:r>
      <w:hyperlink r:id="rId24">
        <w:r>
          <w:rPr>
            <w:rStyle w:val="Hyperlink"/>
          </w:rPr>
          <w:t xml:space="preserve">[4]</w:t>
        </w:r>
      </w:hyperlink>
      <w:r>
        <w:br/>
      </w:r>
      <w:r>
        <w:t xml:space="preserve">- Maximum penalties include up to €35M or 7% worldwide annual turnover for certain infringements.</w:t>
      </w:r>
      <w:r>
        <w:t xml:space="preserve"> </w:t>
      </w:r>
      <w:hyperlink r:id="rId23">
        <w:r>
          <w:rPr>
            <w:rStyle w:val="Hyperlink"/>
          </w:rPr>
          <w:t xml:space="preserve">[3]</w:t>
        </w:r>
      </w:hyperlink>
    </w:p>
    <w:p>
      <w:pPr>
        <w:pStyle w:val="BodyText"/>
      </w:pPr>
      <w:r>
        <w:rPr>
          <w:b/>
          <w:bCs/>
        </w:rPr>
        <w:t xml:space="preserve">Regulatory-change risk (must be tracked in-product): the EU “Digital Omnibus on AI” proposal</w:t>
      </w:r>
      <w:r>
        <w:br/>
      </w:r>
      <w:r>
        <w:t xml:space="preserve">The European Commission</w:t>
      </w:r>
      <w:hyperlink r:id="rId51">
        <w:r>
          <w:rPr>
            <w:rStyle w:val="Hyperlink"/>
          </w:rPr>
          <w:t xml:space="preserve">[24]</w:t>
        </w:r>
      </w:hyperlink>
      <w:r>
        <w:t xml:space="preserve"> </w:t>
      </w:r>
      <w:r>
        <w:t xml:space="preserve">published a “Digital Omnibus on AI” proposal (Nov 19, 2025) aimed at simplifying implementation of certain AI Act provisions.</w:t>
      </w:r>
      <w:r>
        <w:t xml:space="preserve"> </w:t>
      </w:r>
      <w:hyperlink r:id="rId30">
        <w:r>
          <w:rPr>
            <w:rStyle w:val="Hyperlink"/>
          </w:rPr>
          <w:t xml:space="preserve">[25]</w:t>
        </w:r>
      </w:hyperlink>
      <w:r>
        <w:t xml:space="preserve"> </w:t>
      </w:r>
      <w:r>
        <w:t xml:space="preserve">As of early 2026, it is a proposal moving through the EU legislative process; data protection authorities have issued opinions on it, underscoring that timelines and obligations could shift.</w:t>
      </w:r>
      <w:r>
        <w:t xml:space="preserve"> </w:t>
      </w:r>
      <w:hyperlink r:id="rId52">
        <w:r>
          <w:rPr>
            <w:rStyle w:val="Hyperlink"/>
          </w:rPr>
          <w:t xml:space="preserve">[26]</w:t>
        </w:r>
      </w:hyperlink>
      <w:r>
        <w:br/>
      </w:r>
      <w:r>
        <w:rPr>
          <w:b/>
          <w:bCs/>
        </w:rPr>
        <w:t xml:space="preserve">Product implication:</w:t>
      </w:r>
      <w:r>
        <w:t xml:space="preserve"> </w:t>
      </w:r>
      <w:r>
        <w:t xml:space="preserve">your SaaS must behave like a “compliance compiler” that can update control mappings and deadlines as law evolves.</w:t>
      </w:r>
    </w:p>
    <w:p>
      <w:pPr>
        <w:pStyle w:val="BodyText"/>
      </w:pPr>
      <w:r>
        <w:rPr>
          <w:b/>
          <w:bCs/>
        </w:rPr>
        <w:t xml:space="preserve">Baseline security/compliance expectations for selling into top companies</w:t>
      </w:r>
      <w:r>
        <w:br/>
      </w:r>
      <w:r>
        <w:t xml:space="preserve">Even if your product is “about compliance,” you will be expected to demonstrate your own controls. A common enterprise expectation is a SOC 2 report; SOC 2 reports cover controls relevant to security, availability, processing integrity, confidentiality, and privacy under the AICPA</w:t>
      </w:r>
      <w:hyperlink r:id="rId47">
        <w:r>
          <w:rPr>
            <w:rStyle w:val="Hyperlink"/>
          </w:rPr>
          <w:t xml:space="preserve">[27]</w:t>
        </w:r>
      </w:hyperlink>
      <w:r>
        <w:t xml:space="preserve"> </w:t>
      </w:r>
      <w:r>
        <w:t xml:space="preserve">Trust Services Criteria.</w:t>
      </w:r>
      <w:r>
        <w:t xml:space="preserve"> </w:t>
      </w:r>
      <w:hyperlink r:id="rId53">
        <w:r>
          <w:rPr>
            <w:rStyle w:val="Hyperlink"/>
          </w:rPr>
          <w:t xml:space="preserve">[28]</w:t>
        </w:r>
      </w:hyperlink>
      <w:r>
        <w:br/>
      </w:r>
      <w:r>
        <w:t xml:space="preserve">You must also design for GDPR-grade security and risk-based controls; GDPR Article 32 requires appropriate technical and organizational security measures “appropriate to the risk.”</w:t>
      </w:r>
      <w:r>
        <w:t xml:space="preserve"> </w:t>
      </w:r>
      <w:hyperlink r:id="rId54">
        <w:r>
          <w:rPr>
            <w:rStyle w:val="Hyperlink"/>
          </w:rPr>
          <w:t xml:space="preserve">[29]</w:t>
        </w:r>
      </w:hyperlink>
    </w:p>
    <w:bookmarkEnd w:id="55"/>
    <w:bookmarkStart w:id="56" w:name="X1b6402271bf43eb795b73a059a9643c26160309"/>
    <w:p>
      <w:pPr>
        <w:pStyle w:val="Heading3"/>
      </w:pPr>
      <w:r>
        <w:t xml:space="preserve">Integration and API strategy (critical for enterprise reach)</w:t>
      </w:r>
    </w:p>
    <w:p>
      <w:pPr>
        <w:pStyle w:val="FirstParagraph"/>
      </w:pPr>
      <w:r>
        <w:t xml:space="preserve">Your integration strategy should be designed to (1) reduce procurement friction, (2) embed in existing workflows, and (3) create defensibility.</w:t>
      </w:r>
    </w:p>
    <w:p>
      <w:pPr>
        <w:pStyle w:val="BodyText"/>
      </w:pPr>
      <w:r>
        <w:rPr>
          <w:b/>
          <w:bCs/>
        </w:rPr>
        <w:t xml:space="preserve">Integration priorities (ordered)</w:t>
      </w:r>
      <w:r>
        <w:br/>
      </w:r>
      <w:r>
        <w:t xml:space="preserve">1)</w:t>
      </w:r>
      <w:r>
        <w:t xml:space="preserve"> </w:t>
      </w:r>
      <w:r>
        <w:rPr>
          <w:b/>
          <w:bCs/>
        </w:rPr>
        <w:t xml:space="preserve">SSO + provisioning</w:t>
      </w:r>
      <w:r>
        <w:t xml:space="preserve">: OIDC-based SSO and SCIM provisioning are table stakes in enterprise procurement.</w:t>
      </w:r>
      <w:r>
        <w:t xml:space="preserve"> </w:t>
      </w:r>
      <w:hyperlink r:id="rId45">
        <w:r>
          <w:rPr>
            <w:rStyle w:val="Hyperlink"/>
          </w:rPr>
          <w:t xml:space="preserve">[30]</w:t>
        </w:r>
      </w:hyperlink>
      <w:r>
        <w:br/>
      </w:r>
      <w:r>
        <w:t xml:space="preserve">2)</w:t>
      </w:r>
      <w:r>
        <w:t xml:space="preserve"> </w:t>
      </w:r>
      <w:r>
        <w:rPr>
          <w:b/>
          <w:bCs/>
        </w:rPr>
        <w:t xml:space="preserve">Workflow/ticketing + GRC hooks</w:t>
      </w:r>
      <w:r>
        <w:t xml:space="preserve">: connect to enterprise work systems so approvals and remediation happen where people already work.</w:t>
      </w:r>
      <w:r>
        <w:br/>
      </w:r>
      <w:r>
        <w:t xml:space="preserve">3)</w:t>
      </w:r>
      <w:r>
        <w:t xml:space="preserve"> </w:t>
      </w:r>
      <w:r>
        <w:rPr>
          <w:b/>
          <w:bCs/>
        </w:rPr>
        <w:t xml:space="preserve">AI runtime telemetry</w:t>
      </w:r>
      <w:r>
        <w:t xml:space="preserve">: support SDKs/sidecars for common patterns (LLM gateways, agent runtimes, internal tools) to log prompts, outputs, retrieval sources, and policy outcomes.</w:t>
      </w:r>
      <w:r>
        <w:br/>
      </w:r>
      <w:r>
        <w:t xml:space="preserve">4)</w:t>
      </w:r>
      <w:r>
        <w:t xml:space="preserve"> </w:t>
      </w:r>
      <w:r>
        <w:rPr>
          <w:b/>
          <w:bCs/>
        </w:rPr>
        <w:t xml:space="preserve">Evidence ingestion</w:t>
      </w:r>
      <w:r>
        <w:t xml:space="preserve">: pull from document stores and security tooling to reduce manual work.</w:t>
      </w:r>
    </w:p>
    <w:p>
      <w:pPr>
        <w:pStyle w:val="BodyText"/>
      </w:pPr>
      <w:r>
        <w:rPr>
          <w:b/>
          <w:bCs/>
        </w:rPr>
        <w:t xml:space="preserve">API principles</w:t>
      </w:r>
      <w:r>
        <w:br/>
      </w:r>
      <w:r>
        <w:t xml:space="preserve">- Publish an OpenAPI spec as the canonical contract (enables SDKs and partner integrations).</w:t>
      </w:r>
      <w:r>
        <w:t xml:space="preserve"> </w:t>
      </w:r>
      <w:hyperlink r:id="rId47">
        <w:r>
          <w:rPr>
            <w:rStyle w:val="Hyperlink"/>
          </w:rPr>
          <w:t xml:space="preserve">[31]</w:t>
        </w:r>
      </w:hyperlink>
      <w:r>
        <w:br/>
      </w:r>
      <w:r>
        <w:t xml:space="preserve">- Use event-driven webhooks for audit events (creation, approval, incident, remediation) so customers can route actions into SIEM/SOAR or ticketing.</w:t>
      </w:r>
    </w:p>
    <w:bookmarkEnd w:id="56"/>
    <w:bookmarkEnd w:id="57"/>
    <w:bookmarkStart w:id="67" w:name="X4b335be4ab68671fe8b780618278801db2c4d88"/>
    <w:p>
      <w:pPr>
        <w:pStyle w:val="Heading2"/>
      </w:pPr>
      <w:r>
        <w:t xml:space="preserve">Market sizing, pricing benchmarks, revenue model options, and unit economics</w:t>
      </w:r>
    </w:p>
    <w:bookmarkStart w:id="60" w:name="Xe7f1d9ad1eb6818695fa48e9d4720ca0f38a75e"/>
    <w:p>
      <w:pPr>
        <w:pStyle w:val="Heading3"/>
      </w:pPr>
      <w:r>
        <w:t xml:space="preserve">Estimated market size (transparent methodology)</w:t>
      </w:r>
    </w:p>
    <w:p>
      <w:pPr>
        <w:pStyle w:val="FirstParagraph"/>
      </w:pPr>
      <w:r>
        <w:t xml:space="preserve">Because credible market sizing for “AI governance platforms” is fragmented and often paywalled, the most defensible approach here is a</w:t>
      </w:r>
      <w:r>
        <w:t xml:space="preserve"> </w:t>
      </w:r>
      <w:r>
        <w:rPr>
          <w:b/>
          <w:bCs/>
        </w:rPr>
        <w:t xml:space="preserve">bottom-up, assumption-driven TAM model</w:t>
      </w:r>
      <w:r>
        <w:t xml:space="preserve"> </w:t>
      </w:r>
      <w:r>
        <w:t xml:space="preserve">anchored to official enterprise counts and realistic ACVs.</w:t>
      </w:r>
    </w:p>
    <w:p>
      <w:pPr>
        <w:pStyle w:val="BodyText"/>
      </w:pPr>
      <w:r>
        <w:rPr>
          <w:b/>
          <w:bCs/>
        </w:rPr>
        <w:t xml:space="preserve">EU enterprise TAM anchor (official):</w:t>
      </w:r>
      <w:r>
        <w:t xml:space="preserve"> </w:t>
      </w:r>
      <w:r>
        <w:t xml:space="preserve">In 2024, Eurostat</w:t>
      </w:r>
      <w:hyperlink r:id="rId58">
        <w:r>
          <w:rPr>
            <w:rStyle w:val="Hyperlink"/>
          </w:rPr>
          <w:t xml:space="preserve">[32]</w:t>
        </w:r>
      </w:hyperlink>
      <w:r>
        <w:t xml:space="preserve"> </w:t>
      </w:r>
      <w:r>
        <w:t xml:space="preserve">reported the EU had</w:t>
      </w:r>
      <w:r>
        <w:t xml:space="preserve"> </w:t>
      </w:r>
      <w:r>
        <w:rPr>
          <w:b/>
          <w:bCs/>
        </w:rPr>
        <w:t xml:space="preserve">~55,000 large enterprises</w:t>
      </w:r>
      <w:r>
        <w:t xml:space="preserve"> </w:t>
      </w:r>
      <w:r>
        <w:t xml:space="preserve">(≥250 employees), representing</w:t>
      </w:r>
      <w:r>
        <w:t xml:space="preserve"> </w:t>
      </w:r>
      <w:r>
        <w:rPr>
          <w:b/>
          <w:bCs/>
        </w:rPr>
        <w:t xml:space="preserve">0.2% of enterprises</w:t>
      </w:r>
      <w:r>
        <w:t xml:space="preserve"> </w:t>
      </w:r>
      <w:r>
        <w:t xml:space="preserve">but generating</w:t>
      </w:r>
      <w:r>
        <w:t xml:space="preserve"> </w:t>
      </w:r>
      <w:r>
        <w:rPr>
          <w:b/>
          <w:bCs/>
        </w:rPr>
        <w:t xml:space="preserve">€19.9T net turnover</w:t>
      </w:r>
      <w:r>
        <w:t xml:space="preserve"> </w:t>
      </w:r>
      <w:r>
        <w:t xml:space="preserve">(51.3% of EU business economy turnover).</w:t>
      </w:r>
      <w:r>
        <w:t xml:space="preserve"> </w:t>
      </w:r>
      <w:hyperlink r:id="rId59">
        <w:r>
          <w:rPr>
            <w:rStyle w:val="Hyperlink"/>
          </w:rPr>
          <w:t xml:space="preserve">[33]</w:t>
        </w:r>
      </w:hyperlink>
    </w:p>
    <w:p>
      <w:pPr>
        <w:pStyle w:val="BodyText"/>
      </w:pPr>
      <w:r>
        <w:rPr>
          <w:b/>
          <w:bCs/>
        </w:rPr>
        <w:t xml:space="preserve">TAM range example (EU large enterprises only)</w:t>
      </w:r>
      <w:r>
        <w:br/>
      </w:r>
      <w:r>
        <w:t xml:space="preserve">- If average AI governance/control-tower ACV is</w:t>
      </w:r>
      <w:r>
        <w:t xml:space="preserve"> </w:t>
      </w:r>
      <w:r>
        <w:rPr>
          <w:b/>
          <w:bCs/>
        </w:rPr>
        <w:t xml:space="preserve">$50k–$300k</w:t>
      </w:r>
      <w:r>
        <w:t xml:space="preserve"> </w:t>
      </w:r>
      <w:r>
        <w:t xml:space="preserve">(assumption, based on enterprise GRC-like pricing realities), then EU large-enterprise TAM is roughly:</w:t>
      </w:r>
      <w:r>
        <w:br/>
      </w:r>
      <w:r>
        <w:t xml:space="preserve">- 55,000 × $50k =</w:t>
      </w:r>
      <w:r>
        <w:t xml:space="preserve"> </w:t>
      </w:r>
      <w:r>
        <w:rPr>
          <w:b/>
          <w:bCs/>
        </w:rPr>
        <w:t xml:space="preserve">$2.75B/year</w:t>
      </w:r>
      <w:r>
        <w:br/>
      </w:r>
      <w:r>
        <w:t xml:space="preserve">- 55,000 × $300k =</w:t>
      </w:r>
      <w:r>
        <w:t xml:space="preserve"> </w:t>
      </w:r>
      <w:r>
        <w:rPr>
          <w:b/>
          <w:bCs/>
        </w:rPr>
        <w:t xml:space="preserve">$16.5B/year</w:t>
      </w:r>
      <w:r>
        <w:br/>
      </w:r>
      <w:r>
        <w:t xml:space="preserve">This is a range, not a forecast; it illustrates that even modest penetration can produce meaningful revenue.</w:t>
      </w:r>
    </w:p>
    <w:p>
      <w:pPr>
        <w:pStyle w:val="BodyText"/>
      </w:pPr>
      <w:r>
        <w:rPr>
          <w:b/>
          <w:bCs/>
        </w:rPr>
        <w:t xml:space="preserve">Global spend context:</w:t>
      </w:r>
      <w:r>
        <w:t xml:space="preserve"> </w:t>
      </w:r>
      <w:r>
        <w:t xml:space="preserve">Gartner</w:t>
      </w:r>
      <w:hyperlink r:id="rId42">
        <w:r>
          <w:rPr>
            <w:rStyle w:val="Hyperlink"/>
          </w:rPr>
          <w:t xml:space="preserve">[34]</w:t>
        </w:r>
      </w:hyperlink>
      <w:r>
        <w:t xml:space="preserve"> </w:t>
      </w:r>
      <w:r>
        <w:t xml:space="preserve">forecast worldwide IT spending of</w:t>
      </w:r>
      <w:r>
        <w:t xml:space="preserve"> </w:t>
      </w:r>
      <w:r>
        <w:rPr>
          <w:b/>
          <w:bCs/>
        </w:rPr>
        <w:t xml:space="preserve">$5.61T in 2025</w:t>
      </w:r>
      <w:r>
        <w:t xml:space="preserve"> </w:t>
      </w:r>
      <w:r>
        <w:t xml:space="preserve">(press release).</w:t>
      </w:r>
      <w:r>
        <w:t xml:space="preserve"> </w:t>
      </w:r>
      <w:hyperlink r:id="rId51">
        <w:r>
          <w:rPr>
            <w:rStyle w:val="Hyperlink"/>
          </w:rPr>
          <w:t xml:space="preserve">[35]</w:t>
        </w:r>
      </w:hyperlink>
      <w:r>
        <w:t xml:space="preserve"> </w:t>
      </w:r>
      <w:r>
        <w:t xml:space="preserve">AI governance is a small fraction of that, but the IT-spend scale supports the plausibility of multi‑billion-dollar categories for mission-critical governance tooling.</w:t>
      </w:r>
    </w:p>
    <w:bookmarkEnd w:id="60"/>
    <w:bookmarkStart w:id="61" w:name="X5fdca77a096bc73aa1a0c66122cfbcbcac35569"/>
    <w:p>
      <w:pPr>
        <w:pStyle w:val="Heading3"/>
      </w:pPr>
      <w:r>
        <w:t xml:space="preserve">Revenue model options (subscription tiers, enterprise licensing, partnerships, services)</w:t>
      </w:r>
    </w:p>
    <w:p>
      <w:pPr>
        <w:pStyle w:val="FirstParagraph"/>
      </w:pPr>
      <w:r>
        <w:t xml:space="preserve">A high-performing enterprise SaaS in this category typically combines recurring revenue with high-margin services early on.</w:t>
      </w:r>
    </w:p>
    <w:p>
      <w:pPr>
        <w:pStyle w:val="BodyText"/>
      </w:pPr>
      <w:r>
        <w:rPr>
          <w:b/>
          <w:bCs/>
        </w:rPr>
        <w:t xml:space="preserve">Subscription tiers (illustrative; calibrate after 10–20 discovery calls)</w:t>
      </w:r>
      <w:r>
        <w:br/>
      </w:r>
      <w:r>
        <w:t xml:space="preserve">-</w:t>
      </w:r>
      <w:r>
        <w:t xml:space="preserve"> </w:t>
      </w:r>
      <w:r>
        <w:rPr>
          <w:b/>
          <w:bCs/>
        </w:rPr>
        <w:t xml:space="preserve">Mid-market</w:t>
      </w:r>
      <w:r>
        <w:t xml:space="preserve">: $18k–$60k/year</w:t>
      </w:r>
      <w:r>
        <w:br/>
      </w:r>
      <w:r>
        <w:t xml:space="preserve">- Registry + workflows + 1–2 framework mappings + basic evidence exports</w:t>
      </w:r>
      <w:r>
        <w:br/>
      </w:r>
      <w:r>
        <w:t xml:space="preserve">-</w:t>
      </w:r>
      <w:r>
        <w:t xml:space="preserve"> </w:t>
      </w:r>
      <w:r>
        <w:rPr>
          <w:b/>
          <w:bCs/>
        </w:rPr>
        <w:t xml:space="preserve">Enterprise</w:t>
      </w:r>
      <w:r>
        <w:t xml:space="preserve">: $120k–$450k/year</w:t>
      </w:r>
      <w:r>
        <w:br/>
      </w:r>
      <w:r>
        <w:t xml:space="preserve">- Multi-business-unit support, advanced integrations, telemetry SDK, audit-ready packs, SLAs, dedicated support</w:t>
      </w:r>
      <w:r>
        <w:br/>
      </w:r>
      <w:r>
        <w:t xml:space="preserve">-</w:t>
      </w:r>
      <w:r>
        <w:t xml:space="preserve"> </w:t>
      </w:r>
      <w:r>
        <w:rPr>
          <w:b/>
          <w:bCs/>
        </w:rPr>
        <w:t xml:space="preserve">Platform / Unlimited</w:t>
      </w:r>
      <w:r>
        <w:t xml:space="preserve">: $500k+/year</w:t>
      </w:r>
      <w:r>
        <w:br/>
      </w:r>
      <w:r>
        <w:t xml:space="preserve">- Global rollout, bespoke control profiles, priority roadmap, data residency options</w:t>
      </w:r>
    </w:p>
    <w:p>
      <w:pPr>
        <w:pStyle w:val="BodyText"/>
      </w:pPr>
      <w:r>
        <w:rPr>
          <w:b/>
          <w:bCs/>
        </w:rPr>
        <w:t xml:space="preserve">Enterprise licensing options</w:t>
      </w:r>
      <w:r>
        <w:br/>
      </w:r>
      <w:r>
        <w:t xml:space="preserve">- Site license by employee band or revenue band</w:t>
      </w:r>
      <w:r>
        <w:br/>
      </w:r>
      <w:r>
        <w:t xml:space="preserve">- “Per AI system” pricing for clear value alignment (e.g., per deployed model/agent/application)</w:t>
      </w:r>
    </w:p>
    <w:p>
      <w:pPr>
        <w:pStyle w:val="BodyText"/>
      </w:pPr>
      <w:r>
        <w:rPr>
          <w:b/>
          <w:bCs/>
        </w:rPr>
        <w:t xml:space="preserve">Partnership and channel revenue</w:t>
      </w:r>
      <w:r>
        <w:br/>
      </w:r>
      <w:r>
        <w:t xml:space="preserve">- Cloud marketplace private offers and co-sell motions (see next section)</w:t>
      </w:r>
      <w:r>
        <w:br/>
      </w:r>
      <w:r>
        <w:t xml:space="preserve">- Referrals/resale via consultancies and audit partners</w:t>
      </w:r>
    </w:p>
    <w:p>
      <w:pPr>
        <w:pStyle w:val="BodyText"/>
      </w:pPr>
      <w:r>
        <w:rPr>
          <w:b/>
          <w:bCs/>
        </w:rPr>
        <w:t xml:space="preserve">Professional services (especially important in year 1)</w:t>
      </w:r>
      <w:r>
        <w:br/>
      </w:r>
      <w:r>
        <w:t xml:space="preserve">- Paid implementation: AI inventory build-out, control mapping, workflow design</w:t>
      </w:r>
      <w:r>
        <w:br/>
      </w:r>
      <w:r>
        <w:t xml:space="preserve">- “Evidence readiness” engagements ahead of regulatory audits or large customer due diligence</w:t>
      </w:r>
      <w:r>
        <w:br/>
      </w:r>
      <w:r>
        <w:t xml:space="preserve">Services also create sticky long-term subscriptions if packaged as accelerators rather than bespoke consulting.</w:t>
      </w:r>
    </w:p>
    <w:bookmarkEnd w:id="61"/>
    <w:bookmarkStart w:id="65" w:name="pricing-benchmarks-you-can-use-credibly"/>
    <w:p>
      <w:pPr>
        <w:pStyle w:val="Heading3"/>
      </w:pPr>
      <w:r>
        <w:t xml:space="preserve">Pricing benchmarks you can use credibly</w:t>
      </w:r>
    </w:p>
    <w:p>
      <w:pPr>
        <w:pStyle w:val="FirstParagraph"/>
      </w:pPr>
      <w:r>
        <w:t xml:space="preserve">Even if AI governance pricing is often custom, adjacent categories provide public benchmarks for enterprise willingness to pay:</w:t>
      </w:r>
    </w:p>
    <w:p>
      <w:pPr>
        <w:pStyle w:val="Compact"/>
        <w:numPr>
          <w:ilvl w:val="0"/>
          <w:numId w:val="1002"/>
        </w:numPr>
      </w:pPr>
      <w:r>
        <w:rPr>
          <w:b/>
          <w:bCs/>
        </w:rPr>
        <w:t xml:space="preserve">RFP/response software public floor</w:t>
      </w:r>
      <w:r>
        <w:t xml:space="preserve">: Loopio</w:t>
      </w:r>
      <w:hyperlink r:id="rId24">
        <w:r>
          <w:rPr>
            <w:rStyle w:val="Hyperlink"/>
          </w:rPr>
          <w:t xml:space="preserve">[36]</w:t>
        </w:r>
      </w:hyperlink>
      <w:r>
        <w:t xml:space="preserve"> </w:t>
      </w:r>
      <w:r>
        <w:t xml:space="preserve">states pricing options</w:t>
      </w:r>
      <w:r>
        <w:t xml:space="preserve"> </w:t>
      </w:r>
      <w:r>
        <w:rPr>
          <w:b/>
          <w:bCs/>
        </w:rPr>
        <w:t xml:space="preserve">start at $20,000 per year</w:t>
      </w:r>
      <w:r>
        <w:t xml:space="preserve"> </w:t>
      </w:r>
      <w:r>
        <w:t xml:space="preserve">(10 seats).</w:t>
      </w:r>
      <w:r>
        <w:t xml:space="preserve"> </w:t>
      </w:r>
      <w:hyperlink r:id="rId34">
        <w:r>
          <w:rPr>
            <w:rStyle w:val="Hyperlink"/>
          </w:rPr>
          <w:t xml:space="preserve">[37]</w:t>
        </w:r>
      </w:hyperlink>
    </w:p>
    <w:p>
      <w:pPr>
        <w:pStyle w:val="Compact"/>
        <w:numPr>
          <w:ilvl w:val="0"/>
          <w:numId w:val="1002"/>
        </w:numPr>
      </w:pPr>
      <w:r>
        <w:rPr>
          <w:b/>
          <w:bCs/>
        </w:rPr>
        <w:t xml:space="preserve">SOC 2 audit costs (budget reality)</w:t>
      </w:r>
      <w:r>
        <w:t xml:space="preserve">: Drata</w:t>
      </w:r>
      <w:hyperlink r:id="rId25">
        <w:r>
          <w:rPr>
            <w:rStyle w:val="Hyperlink"/>
          </w:rPr>
          <w:t xml:space="preserve">[38]</w:t>
        </w:r>
      </w:hyperlink>
      <w:r>
        <w:t xml:space="preserve"> </w:t>
      </w:r>
      <w:r>
        <w:t xml:space="preserve">publishes ranges indicating SOC 2 audits can run from</w:t>
      </w:r>
      <w:r>
        <w:t xml:space="preserve"> </w:t>
      </w:r>
      <w:r>
        <w:rPr>
          <w:b/>
          <w:bCs/>
        </w:rPr>
        <w:t xml:space="preserve">thousands to tens of thousands</w:t>
      </w:r>
      <w:r>
        <w:t xml:space="preserve"> </w:t>
      </w:r>
      <w:r>
        <w:t xml:space="preserve">depending on scope/size (not your product price, but a signal that “trust/compliance spend” is real).</w:t>
      </w:r>
      <w:r>
        <w:t xml:space="preserve"> </w:t>
      </w:r>
      <w:hyperlink r:id="rId62">
        <w:r>
          <w:rPr>
            <w:rStyle w:val="Hyperlink"/>
          </w:rPr>
          <w:t xml:space="preserve">[39]</w:t>
        </w:r>
      </w:hyperlink>
    </w:p>
    <w:p>
      <w:pPr>
        <w:pStyle w:val="Compact"/>
        <w:numPr>
          <w:ilvl w:val="0"/>
          <w:numId w:val="1002"/>
        </w:numPr>
      </w:pPr>
      <w:r>
        <w:rPr>
          <w:b/>
          <w:bCs/>
        </w:rPr>
        <w:t xml:space="preserve">AI usage is metered and visible</w:t>
      </w:r>
      <w:r>
        <w:t xml:space="preserve">: OpenAI</w:t>
      </w:r>
      <w:hyperlink r:id="rId63">
        <w:r>
          <w:rPr>
            <w:rStyle w:val="Hyperlink"/>
          </w:rPr>
          <w:t xml:space="preserve">[40]</w:t>
        </w:r>
      </w:hyperlink>
      <w:r>
        <w:t xml:space="preserve"> </w:t>
      </w:r>
      <w:r>
        <w:t xml:space="preserve">provides a usage dashboard for API usage tracking and publishes API pricing per token, making cost governance increasingly measurable and CFO-visible—fuel for governance + FinOps bundling.</w:t>
      </w:r>
      <w:r>
        <w:t xml:space="preserve"> </w:t>
      </w:r>
      <w:hyperlink r:id="rId64">
        <w:r>
          <w:rPr>
            <w:rStyle w:val="Hyperlink"/>
          </w:rPr>
          <w:t xml:space="preserve">[41]</w:t>
        </w:r>
      </w:hyperlink>
    </w:p>
    <w:p>
      <w:pPr>
        <w:pStyle w:val="Compact"/>
        <w:numPr>
          <w:ilvl w:val="0"/>
          <w:numId w:val="1002"/>
        </w:numPr>
      </w:pPr>
      <w:r>
        <w:rPr>
          <w:b/>
          <w:bCs/>
        </w:rPr>
        <w:t xml:space="preserve">Enterprise AI tools can be per-seat at scale</w:t>
      </w:r>
      <w:r>
        <w:t xml:space="preserve">: GitHub</w:t>
      </w:r>
      <w:hyperlink r:id="rId22">
        <w:r>
          <w:rPr>
            <w:rStyle w:val="Hyperlink"/>
          </w:rPr>
          <w:t xml:space="preserve">[42]</w:t>
        </w:r>
      </w:hyperlink>
      <w:r>
        <w:t xml:space="preserve"> </w:t>
      </w:r>
      <w:r>
        <w:t xml:space="preserve">documents Copilot Business at</w:t>
      </w:r>
      <w:r>
        <w:t xml:space="preserve"> </w:t>
      </w:r>
      <w:r>
        <w:rPr>
          <w:b/>
          <w:bCs/>
        </w:rPr>
        <w:t xml:space="preserve">$19/user/month</w:t>
      </w:r>
      <w:r>
        <w:t xml:space="preserve"> </w:t>
      </w:r>
      <w:r>
        <w:t xml:space="preserve">and Copilot Enterprise at</w:t>
      </w:r>
      <w:r>
        <w:t xml:space="preserve"> </w:t>
      </w:r>
      <w:r>
        <w:rPr>
          <w:b/>
          <w:bCs/>
        </w:rPr>
        <w:t xml:space="preserve">$39/user/month</w:t>
      </w:r>
      <w:r>
        <w:t xml:space="preserve">, which can help you frame per-seat expectations for certain personas (e.g., reviewers, governance operators).</w:t>
      </w:r>
      <w:r>
        <w:t xml:space="preserve"> </w:t>
      </w:r>
      <w:hyperlink r:id="rId63">
        <w:r>
          <w:rPr>
            <w:rStyle w:val="Hyperlink"/>
          </w:rPr>
          <w:t xml:space="preserve">[43]</w:t>
        </w:r>
      </w:hyperlink>
    </w:p>
    <w:bookmarkEnd w:id="65"/>
    <w:bookmarkStart w:id="66" w:name="cac-and-ltv-assumptions-explicit"/>
    <w:p>
      <w:pPr>
        <w:pStyle w:val="Heading3"/>
      </w:pPr>
      <w:r>
        <w:t xml:space="preserve">CAC and LTV assumptions (explicit)</w:t>
      </w:r>
    </w:p>
    <w:p>
      <w:pPr>
        <w:pStyle w:val="FirstParagraph"/>
      </w:pPr>
      <w:r>
        <w:t xml:space="preserve">Because CAC/LTV is highly sensitive to your sales motion, here are reasonable planning assumptions for a new enterprise SaaS.</w:t>
      </w:r>
    </w:p>
    <w:p>
      <w:pPr>
        <w:pStyle w:val="BodyText"/>
      </w:pPr>
      <w:r>
        <w:rPr>
          <w:b/>
          <w:bCs/>
        </w:rPr>
        <w:t xml:space="preserve">Assumptions</w:t>
      </w:r>
      <w:r>
        <w:br/>
      </w:r>
      <w:r>
        <w:t xml:space="preserve">- Outbound + partnership-led pipeline; limited inbound in first 6 months</w:t>
      </w:r>
      <w:r>
        <w:br/>
      </w:r>
      <w:r>
        <w:t xml:space="preserve">- Sales cycle: 3–9 months (shorter with a paid pilot and security-ready posture)</w:t>
      </w:r>
      <w:r>
        <w:br/>
      </w:r>
      <w:r>
        <w:t xml:space="preserve">- ACV targets: $60k (mid-market) and $180k (enterprise)</w:t>
      </w:r>
      <w:r>
        <w:br/>
      </w:r>
      <w:r>
        <w:t xml:space="preserve">- Gross margin: 80–90% (typical SaaS; assumes limited heavy compute)</w:t>
      </w:r>
    </w:p>
    <w:p>
      <w:pPr>
        <w:pStyle w:val="BodyText"/>
      </w:pPr>
      <w:r>
        <w:rPr>
          <w:b/>
          <w:bCs/>
        </w:rPr>
        <w:t xml:space="preserve">Unit economics sketch (illustrative)</w:t>
      </w:r>
      <w:r>
        <w:br/>
      </w:r>
      <w:r>
        <w:t xml:space="preserve">-</w:t>
      </w:r>
      <w:r>
        <w:t xml:space="preserve"> </w:t>
      </w:r>
      <w:r>
        <w:rPr>
          <w:b/>
          <w:bCs/>
        </w:rPr>
        <w:t xml:space="preserve">Fully loaded CAC per closed-won enterprise deal</w:t>
      </w:r>
      <w:r>
        <w:t xml:space="preserve">: $35k–$120k</w:t>
      </w:r>
      <w:r>
        <w:br/>
      </w:r>
      <w:r>
        <w:t xml:space="preserve">- Components: SDR time, AE, founder support, travel/events, pilot support, security reviews</w:t>
      </w:r>
      <w:r>
        <w:br/>
      </w:r>
      <w:r>
        <w:t xml:space="preserve">-</w:t>
      </w:r>
      <w:r>
        <w:t xml:space="preserve"> </w:t>
      </w:r>
      <w:r>
        <w:rPr>
          <w:b/>
          <w:bCs/>
        </w:rPr>
        <w:t xml:space="preserve">LTV</w:t>
      </w:r>
      <w:r>
        <w:t xml:space="preserve"> </w:t>
      </w:r>
      <w:r>
        <w:t xml:space="preserve">(simple): ACV × gross margin × retention years</w:t>
      </w:r>
      <w:r>
        <w:br/>
      </w:r>
      <w:r>
        <w:t xml:space="preserve">- If ACV=$180k, GM=85%, average retention=4 years → LTV ≈ $612k</w:t>
      </w:r>
      <w:r>
        <w:br/>
      </w:r>
      <w:r>
        <w:t xml:space="preserve">- LTV:CAC target: ≥5:1 (enterprise) once motion stabilizes</w:t>
      </w:r>
    </w:p>
    <w:p>
      <w:pPr>
        <w:pStyle w:val="BodyText"/>
      </w:pPr>
      <w:r>
        <w:t xml:space="preserve">The immediate job is not “perfect CAC math”; it is building a</w:t>
      </w:r>
      <w:r>
        <w:t xml:space="preserve"> </w:t>
      </w:r>
      <w:r>
        <w:rPr>
          <w:b/>
          <w:bCs/>
        </w:rPr>
        <w:t xml:space="preserve">repeatable, security-review-survivable</w:t>
      </w:r>
      <w:r>
        <w:t xml:space="preserve"> </w:t>
      </w:r>
      <w:r>
        <w:t xml:space="preserve">process and proving expansion (more AI systems, more business units, more integrations).</w:t>
      </w:r>
    </w:p>
    <w:bookmarkEnd w:id="66"/>
    <w:bookmarkEnd w:id="67"/>
    <w:bookmarkStart w:id="78" w:name="Xa3f8c669d9f5a604d5882ae45a2c78013a2403b"/>
    <w:p>
      <w:pPr>
        <w:pStyle w:val="Heading2"/>
      </w:pPr>
      <w:r>
        <w:t xml:space="preserve">Go-to-market strategy, enterprise outreach, and a 12-month roadmap</w:t>
      </w:r>
    </w:p>
    <w:bookmarkStart w:id="71" w:name="X713cf8739b7243598784e9057035a1d6fa3840f"/>
    <w:p>
      <w:pPr>
        <w:pStyle w:val="Heading3"/>
      </w:pPr>
      <w:r>
        <w:t xml:space="preserve">Make the product noticeable and reachable to top companies</w:t>
      </w:r>
    </w:p>
    <w:p>
      <w:pPr>
        <w:pStyle w:val="FirstParagraph"/>
      </w:pPr>
      <w:r>
        <w:t xml:space="preserve">To sell governance to top companies, you must be discoverable where enterprises buy and where their advisors influence decisions:</w:t>
      </w:r>
    </w:p>
    <w:p>
      <w:pPr>
        <w:pStyle w:val="BodyText"/>
      </w:pPr>
      <w:r>
        <w:rPr>
          <w:b/>
          <w:bCs/>
        </w:rPr>
        <w:t xml:space="preserve">Cloud marketplaces (distribution + procurement acceleration)</w:t>
      </w:r>
      <w:r>
        <w:br/>
      </w:r>
      <w:r>
        <w:t xml:space="preserve">-</w:t>
      </w:r>
      <w:r>
        <w:t xml:space="preserve"> </w:t>
      </w:r>
      <w:r>
        <w:rPr>
          <w:b/>
          <w:bCs/>
        </w:rPr>
        <w:t xml:space="preserve">Microsoft commercial marketplace:</w:t>
      </w:r>
      <w:r>
        <w:t xml:space="preserve"> </w:t>
      </w:r>
      <w:r>
        <w:t xml:space="preserve">Microsoft documents how to create SaaS offers via Partner Center.</w:t>
      </w:r>
      <w:r>
        <w:t xml:space="preserve"> </w:t>
      </w:r>
      <w:hyperlink r:id="rId25">
        <w:r>
          <w:rPr>
            <w:rStyle w:val="Hyperlink"/>
          </w:rPr>
          <w:t xml:space="preserve">[44]</w:t>
        </w:r>
      </w:hyperlink>
      <w:r>
        <w:br/>
      </w:r>
      <w:r>
        <w:t xml:space="preserve">-</w:t>
      </w:r>
      <w:r>
        <w:t xml:space="preserve"> </w:t>
      </w:r>
      <w:r>
        <w:rPr>
          <w:b/>
          <w:bCs/>
        </w:rPr>
        <w:t xml:space="preserve">AWS Marketplace:</w:t>
      </w:r>
      <w:r>
        <w:t xml:space="preserve"> </w:t>
      </w:r>
      <w:r>
        <w:t xml:space="preserve">AWS documents SaaS contract integration requirements.</w:t>
      </w:r>
      <w:r>
        <w:t xml:space="preserve"> </w:t>
      </w:r>
      <w:hyperlink r:id="rId68">
        <w:r>
          <w:rPr>
            <w:rStyle w:val="Hyperlink"/>
          </w:rPr>
          <w:t xml:space="preserve">[45]</w:t>
        </w:r>
      </w:hyperlink>
      <w:r>
        <w:br/>
      </w:r>
      <w:r>
        <w:t xml:space="preserve">-</w:t>
      </w:r>
      <w:r>
        <w:t xml:space="preserve"> </w:t>
      </w:r>
      <w:r>
        <w:rPr>
          <w:b/>
          <w:bCs/>
        </w:rPr>
        <w:t xml:space="preserve">Google Cloud Marketplace:</w:t>
      </w:r>
      <w:r>
        <w:t xml:space="preserve"> </w:t>
      </w:r>
      <w:r>
        <w:t xml:space="preserve">Google documents an integrated SaaS partner path and publishing steps.</w:t>
      </w:r>
      <w:r>
        <w:t xml:space="preserve"> </w:t>
      </w:r>
      <w:hyperlink r:id="rId58">
        <w:r>
          <w:rPr>
            <w:rStyle w:val="Hyperlink"/>
          </w:rPr>
          <w:t xml:space="preserve">[46]</w:t>
        </w:r>
      </w:hyperlink>
    </w:p>
    <w:p>
      <w:pPr>
        <w:pStyle w:val="BodyText"/>
      </w:pPr>
      <w:r>
        <w:rPr>
          <w:b/>
          <w:bCs/>
        </w:rPr>
        <w:t xml:space="preserve">Enterprise ecosystems with built-in reach</w:t>
      </w:r>
      <w:r>
        <w:br/>
      </w:r>
      <w:r>
        <w:t xml:space="preserve">- Salesforce</w:t>
      </w:r>
      <w:hyperlink r:id="rId25">
        <w:r>
          <w:rPr>
            <w:rStyle w:val="Hyperlink"/>
          </w:rPr>
          <w:t xml:space="preserve">[47]</w:t>
        </w:r>
      </w:hyperlink>
      <w:r>
        <w:t xml:space="preserve"> </w:t>
      </w:r>
      <w:r>
        <w:t xml:space="preserve">AppExchange: public listing requires a security review process.</w:t>
      </w:r>
      <w:r>
        <w:t xml:space="preserve"> </w:t>
      </w:r>
      <w:hyperlink r:id="rId69">
        <w:r>
          <w:rPr>
            <w:rStyle w:val="Hyperlink"/>
          </w:rPr>
          <w:t xml:space="preserve">[48]</w:t>
        </w:r>
      </w:hyperlink>
      <w:r>
        <w:br/>
      </w:r>
      <w:r>
        <w:t xml:space="preserve">- ServiceNow</w:t>
      </w:r>
      <w:hyperlink r:id="rId42">
        <w:r>
          <w:rPr>
            <w:rStyle w:val="Hyperlink"/>
          </w:rPr>
          <w:t xml:space="preserve">[49]</w:t>
        </w:r>
      </w:hyperlink>
      <w:r>
        <w:t xml:space="preserve">: listing apps on its Store requires certification steps.</w:t>
      </w:r>
      <w:r>
        <w:t xml:space="preserve"> </w:t>
      </w:r>
      <w:hyperlink r:id="rId70">
        <w:r>
          <w:rPr>
            <w:rStyle w:val="Hyperlink"/>
          </w:rPr>
          <w:t xml:space="preserve">[50]</w:t>
        </w:r>
      </w:hyperlink>
    </w:p>
    <w:p>
      <w:pPr>
        <w:pStyle w:val="BodyText"/>
      </w:pPr>
      <w:r>
        <w:t xml:space="preserve">Even if you do not “sell through” these stores in month 1, their integration and listing pathways are concrete mechanisms to get into top-company toolchains and shorten procurement.</w:t>
      </w:r>
    </w:p>
    <w:bookmarkEnd w:id="71"/>
    <w:bookmarkStart w:id="72" w:name="X3120a31d420be890adc4bcf355706a72ffe658f"/>
    <w:p>
      <w:pPr>
        <w:pStyle w:val="Heading3"/>
      </w:pPr>
      <w:r>
        <w:t xml:space="preserve">Enterprise sales motion and outreach strategy</w:t>
      </w:r>
    </w:p>
    <w:p>
      <w:pPr>
        <w:pStyle w:val="FirstParagraph"/>
      </w:pPr>
      <w:r>
        <w:t xml:space="preserve">Your sales motion should be</w:t>
      </w:r>
      <w:r>
        <w:t xml:space="preserve"> </w:t>
      </w:r>
      <w:r>
        <w:rPr>
          <w:b/>
          <w:bCs/>
        </w:rPr>
        <w:t xml:space="preserve">account-based</w:t>
      </w:r>
      <w:r>
        <w:t xml:space="preserve"> </w:t>
      </w:r>
      <w:r>
        <w:t xml:space="preserve">with a compliance-driven trigger narrative.</w:t>
      </w:r>
    </w:p>
    <w:p>
      <w:pPr>
        <w:pStyle w:val="BodyText"/>
      </w:pPr>
      <w:r>
        <w:rPr>
          <w:b/>
          <w:bCs/>
        </w:rPr>
        <w:t xml:space="preserve">Core narrative that sells in 2026</w:t>
      </w:r>
      <w:r>
        <w:br/>
      </w:r>
      <w:r>
        <w:t xml:space="preserve">- “AI adoption is broad; negative consequences are already happening; and the EU AI Act has live obligations and high penalties. We reduce approval cycle time while generating defensible evidence.”</w:t>
      </w:r>
      <w:r>
        <w:t xml:space="preserve"> </w:t>
      </w:r>
      <w:hyperlink r:id="rId22">
        <w:r>
          <w:rPr>
            <w:rStyle w:val="Hyperlink"/>
          </w:rPr>
          <w:t xml:space="preserve">[51]</w:t>
        </w:r>
      </w:hyperlink>
    </w:p>
    <w:p>
      <w:pPr>
        <w:pStyle w:val="BodyText"/>
      </w:pPr>
      <w:r>
        <w:rPr>
          <w:b/>
          <w:bCs/>
        </w:rPr>
        <w:t xml:space="preserve">Target-account selection (high signal)</w:t>
      </w:r>
      <w:r>
        <w:br/>
      </w:r>
      <w:r>
        <w:t xml:space="preserve">- Start with EU large enterprises (55,000 exist; pick the top 200–500 by AI intensity and regulatory exposure).</w:t>
      </w:r>
      <w:r>
        <w:t xml:space="preserve"> </w:t>
      </w:r>
      <w:hyperlink r:id="rId59">
        <w:r>
          <w:rPr>
            <w:rStyle w:val="Hyperlink"/>
          </w:rPr>
          <w:t xml:space="preserve">[33]</w:t>
        </w:r>
      </w:hyperlink>
      <w:r>
        <w:br/>
      </w:r>
      <w:r>
        <w:t xml:space="preserve">- Prioritize firms with public AI programs, heavy customer scrutiny, or regulated decision-making (credit, hiring, healthcare operations).</w:t>
      </w:r>
    </w:p>
    <w:p>
      <w:pPr>
        <w:pStyle w:val="BodyText"/>
      </w:pPr>
      <w:r>
        <w:rPr>
          <w:b/>
          <w:bCs/>
        </w:rPr>
        <w:t xml:space="preserve">Outbound sequence (practical)</w:t>
      </w:r>
      <w:r>
        <w:br/>
      </w:r>
      <w:r>
        <w:t xml:space="preserve">- Hook: “AI inventory + AI Act readiness assessment in 14 days” (paid discovery)</w:t>
      </w:r>
      <w:r>
        <w:br/>
      </w:r>
      <w:r>
        <w:t xml:space="preserve">- Deliverable: an “AI systems register” + risk classification + control gap report</w:t>
      </w:r>
      <w:r>
        <w:br/>
      </w:r>
      <w:r>
        <w:t xml:space="preserve">- Convert to pilot: implement one workflow and one telemetry integration for a single high-value AI system</w:t>
      </w:r>
      <w:r>
        <w:br/>
      </w:r>
      <w:r>
        <w:t xml:space="preserve">- Expand: add business units + additional AI systems + audit exports</w:t>
      </w:r>
    </w:p>
    <w:bookmarkEnd w:id="72"/>
    <w:bookmarkStart w:id="73" w:name="enterprise-sales-motion-flowchart-visual"/>
    <w:p>
      <w:pPr>
        <w:pStyle w:val="Heading3"/>
      </w:pPr>
      <w:r>
        <w:t xml:space="preserve">Enterprise sales motion flowchart (visual)</w:t>
      </w:r>
    </w:p>
    <w:p>
      <w:pPr>
        <w:pStyle w:val="SourceCode"/>
      </w:pPr>
      <w:r>
        <w:rPr>
          <w:rStyle w:val="VerbatimChar"/>
        </w:rPr>
        <w:t xml:space="preserve">flowchart TD</w:t>
      </w:r>
      <w:r>
        <w:br/>
      </w:r>
      <w:r>
        <w:rPr>
          <w:rStyle w:val="VerbatimChar"/>
        </w:rPr>
        <w:t xml:space="preserve">  A[Target account list (ICP + trigger)] --&gt; B[Warm intro / outbound]</w:t>
      </w:r>
      <w:r>
        <w:br/>
      </w:r>
      <w:r>
        <w:rPr>
          <w:rStyle w:val="VerbatimChar"/>
        </w:rPr>
        <w:t xml:space="preserve">  B --&gt; C[Discovery: AI portfolio + governance pain]</w:t>
      </w:r>
      <w:r>
        <w:br/>
      </w:r>
      <w:r>
        <w:rPr>
          <w:rStyle w:val="VerbatimChar"/>
        </w:rPr>
        <w:t xml:space="preserve">  C --&gt; D[Value hypothesis + success criteria]</w:t>
      </w:r>
      <w:r>
        <w:br/>
      </w:r>
      <w:r>
        <w:rPr>
          <w:rStyle w:val="VerbatimChar"/>
        </w:rPr>
        <w:t xml:space="preserve">  D --&gt; E[Paid assessment (2-4 weeks)]</w:t>
      </w:r>
      <w:r>
        <w:br/>
      </w:r>
      <w:r>
        <w:rPr>
          <w:rStyle w:val="VerbatimChar"/>
        </w:rPr>
        <w:t xml:space="preserve">  E --&gt; F[Pilot (6-10 weeks): 1-3 AI systems instrumented]</w:t>
      </w:r>
      <w:r>
        <w:br/>
      </w:r>
      <w:r>
        <w:rPr>
          <w:rStyle w:val="VerbatimChar"/>
        </w:rPr>
        <w:t xml:space="preserve">  F --&gt; G[Security review + procurement]</w:t>
      </w:r>
      <w:r>
        <w:br/>
      </w:r>
      <w:r>
        <w:rPr>
          <w:rStyle w:val="VerbatimChar"/>
        </w:rPr>
        <w:t xml:space="preserve">  G --&gt; H[Enterprise contract (12-36 mo)]</w:t>
      </w:r>
      <w:r>
        <w:br/>
      </w:r>
      <w:r>
        <w:rPr>
          <w:rStyle w:val="VerbatimChar"/>
        </w:rPr>
        <w:t xml:space="preserve">  H --&gt; I[Onboarding + workflow rollout]</w:t>
      </w:r>
      <w:r>
        <w:br/>
      </w:r>
      <w:r>
        <w:rPr>
          <w:rStyle w:val="VerbatimChar"/>
        </w:rPr>
        <w:t xml:space="preserve">  I --&gt; J[Expansion: more AI systems, BU rollouts, integrations]</w:t>
      </w:r>
    </w:p>
    <w:bookmarkEnd w:id="73"/>
    <w:bookmarkStart w:id="74" w:name="success-metrics-kpis-what-to-measure"/>
    <w:p>
      <w:pPr>
        <w:pStyle w:val="Heading3"/>
      </w:pPr>
      <w:r>
        <w:t xml:space="preserve">Success metrics / KPIs (what to measure)</w:t>
      </w:r>
    </w:p>
    <w:p>
      <w:pPr>
        <w:pStyle w:val="FirstParagraph"/>
      </w:pPr>
      <w:r>
        <w:t xml:space="preserve">To manage a governance SaaS like a serious enterprise product, track KPIs that prove both product value and sales traction:</w:t>
      </w:r>
    </w:p>
    <w:p>
      <w:pPr>
        <w:pStyle w:val="Compact"/>
        <w:numPr>
          <w:ilvl w:val="0"/>
          <w:numId w:val="1003"/>
        </w:numPr>
      </w:pPr>
      <w:r>
        <w:rPr>
          <w:b/>
          <w:bCs/>
        </w:rPr>
        <w:t xml:space="preserve">Time-to-approval</w:t>
      </w:r>
      <w:r>
        <w:t xml:space="preserve">: median days from “submitted for review” to “approved” (goal: reduce by 30–60% in 90 days).</w:t>
      </w:r>
    </w:p>
    <w:p>
      <w:pPr>
        <w:pStyle w:val="Compact"/>
        <w:numPr>
          <w:ilvl w:val="0"/>
          <w:numId w:val="1003"/>
        </w:numPr>
      </w:pPr>
      <w:r>
        <w:rPr>
          <w:b/>
          <w:bCs/>
        </w:rPr>
        <w:t xml:space="preserve">Coverage</w:t>
      </w:r>
      <w:r>
        <w:t xml:space="preserve">: % of AI systems registered vs estimated total (shadow AI reduction).</w:t>
      </w:r>
    </w:p>
    <w:p>
      <w:pPr>
        <w:pStyle w:val="Compact"/>
        <w:numPr>
          <w:ilvl w:val="0"/>
          <w:numId w:val="1003"/>
        </w:numPr>
      </w:pPr>
      <w:r>
        <w:rPr>
          <w:b/>
          <w:bCs/>
        </w:rPr>
        <w:t xml:space="preserve">Control completion rate</w:t>
      </w:r>
      <w:r>
        <w:t xml:space="preserve">: % required controls with evidence attached per high-risk system.</w:t>
      </w:r>
    </w:p>
    <w:p>
      <w:pPr>
        <w:pStyle w:val="Compact"/>
        <w:numPr>
          <w:ilvl w:val="0"/>
          <w:numId w:val="1003"/>
        </w:numPr>
      </w:pPr>
      <w:r>
        <w:rPr>
          <w:b/>
          <w:bCs/>
        </w:rPr>
        <w:t xml:space="preserve">Monitoring coverage</w:t>
      </w:r>
      <w:r>
        <w:t xml:space="preserve">: % of in-scope AI systems with runtime telemetry enabled.</w:t>
      </w:r>
    </w:p>
    <w:p>
      <w:pPr>
        <w:pStyle w:val="Compact"/>
        <w:numPr>
          <w:ilvl w:val="0"/>
          <w:numId w:val="1003"/>
        </w:numPr>
      </w:pPr>
      <w:r>
        <w:rPr>
          <w:b/>
          <w:bCs/>
        </w:rPr>
        <w:t xml:space="preserve">Incident metrics</w:t>
      </w:r>
      <w:r>
        <w:t xml:space="preserve">: time-to-detect, time-to-remediate, and recurrence.</w:t>
      </w:r>
    </w:p>
    <w:p>
      <w:pPr>
        <w:pStyle w:val="Compact"/>
        <w:numPr>
          <w:ilvl w:val="0"/>
          <w:numId w:val="1003"/>
        </w:numPr>
      </w:pPr>
      <w:r>
        <w:rPr>
          <w:b/>
          <w:bCs/>
        </w:rPr>
        <w:t xml:space="preserve">Sales metrics</w:t>
      </w:r>
      <w:r>
        <w:t xml:space="preserve">: pipeline velocity, pilot-to-paid conversion, expansion ARR.</w:t>
      </w:r>
    </w:p>
    <w:p>
      <w:pPr>
        <w:pStyle w:val="Compact"/>
        <w:numPr>
          <w:ilvl w:val="0"/>
          <w:numId w:val="1003"/>
        </w:numPr>
      </w:pPr>
      <w:r>
        <w:rPr>
          <w:b/>
          <w:bCs/>
        </w:rPr>
        <w:t xml:space="preserve">Trust readiness</w:t>
      </w:r>
      <w:r>
        <w:t xml:space="preserve">: progress toward SOC 2 readiness (controls implemented, evidence completeness).</w:t>
      </w:r>
      <w:r>
        <w:t xml:space="preserve"> </w:t>
      </w:r>
      <w:hyperlink r:id="rId53">
        <w:r>
          <w:rPr>
            <w:rStyle w:val="Hyperlink"/>
          </w:rPr>
          <w:t xml:space="preserve">[28]</w:t>
        </w:r>
      </w:hyperlink>
    </w:p>
    <w:bookmarkEnd w:id="74"/>
    <w:bookmarkStart w:id="75" w:name="X6752e24796c251b1aae018601d63972f703c41f"/>
    <w:p>
      <w:pPr>
        <w:pStyle w:val="Heading3"/>
      </w:pPr>
      <w:r>
        <w:t xml:space="preserve">12-month product and GTM roadmap with milestones (visual timeline)</w:t>
      </w:r>
    </w:p>
    <w:p>
      <w:pPr>
        <w:pStyle w:val="SourceCode"/>
      </w:pPr>
      <w:r>
        <w:rPr>
          <w:rStyle w:val="VerbatimChar"/>
        </w:rPr>
        <w:t xml:space="preserve">gantt</w:t>
      </w:r>
      <w:r>
        <w:br/>
      </w:r>
      <w:r>
        <w:rPr>
          <w:rStyle w:val="VerbatimChar"/>
        </w:rPr>
        <w:t xml:space="preserve">  title 12-month roadmap (starting Mar 2026)</w:t>
      </w:r>
      <w:r>
        <w:br/>
      </w:r>
      <w:r>
        <w:rPr>
          <w:rStyle w:val="VerbatimChar"/>
        </w:rPr>
        <w:t xml:space="preserve">  dateFormat  YYYY-MM-DD</w:t>
      </w:r>
      <w:r>
        <w:br/>
      </w:r>
      <w:r>
        <w:rPr>
          <w:rStyle w:val="VerbatimChar"/>
        </w:rPr>
        <w:t xml:space="preserve">  axisFormat  %b %Y</w:t>
      </w:r>
      <w:r>
        <w:br/>
      </w:r>
      <w:r>
        <w:br/>
      </w:r>
      <w:r>
        <w:rPr>
          <w:rStyle w:val="VerbatimChar"/>
        </w:rPr>
        <w:t xml:space="preserve">  section Product discovery &amp; design partners</w:t>
      </w:r>
      <w:r>
        <w:br/>
      </w:r>
      <w:r>
        <w:rPr>
          <w:rStyle w:val="VerbatimChar"/>
        </w:rPr>
        <w:t xml:space="preserve">  20-30 enterprise interviews            :a1, 2026-03-06, 45d</w:t>
      </w:r>
      <w:r>
        <w:br/>
      </w:r>
      <w:r>
        <w:rPr>
          <w:rStyle w:val="VerbatimChar"/>
        </w:rPr>
        <w:t xml:space="preserve">  Sign 3-5 paid assessment customers     :a2, 2026-03-20, 60d</w:t>
      </w:r>
      <w:r>
        <w:br/>
      </w:r>
      <w:r>
        <w:br/>
      </w:r>
      <w:r>
        <w:rPr>
          <w:rStyle w:val="VerbatimChar"/>
        </w:rPr>
        <w:t xml:space="preserve">  section MVP build</w:t>
      </w:r>
      <w:r>
        <w:br/>
      </w:r>
      <w:r>
        <w:rPr>
          <w:rStyle w:val="VerbatimChar"/>
        </w:rPr>
        <w:t xml:space="preserve">  AI system registry + workflows MVP     :b1, 2026-04-01, 75d</w:t>
      </w:r>
      <w:r>
        <w:br/>
      </w:r>
      <w:r>
        <w:rPr>
          <w:rStyle w:val="VerbatimChar"/>
        </w:rPr>
        <w:t xml:space="preserve">  Evidence vault + audit exports         :b2, 2026-05-01, 60d</w:t>
      </w:r>
      <w:r>
        <w:br/>
      </w:r>
      <w:r>
        <w:rPr>
          <w:rStyle w:val="VerbatimChar"/>
        </w:rPr>
        <w:t xml:space="preserve">  SSO (OIDC) + SCIM provisioning         :b3, 2026-05-15, 60d</w:t>
      </w:r>
      <w:r>
        <w:br/>
      </w:r>
      <w:r>
        <w:br/>
      </w:r>
      <w:r>
        <w:rPr>
          <w:rStyle w:val="VerbatimChar"/>
        </w:rPr>
        <w:t xml:space="preserve">  section Pilot &amp; telemetry wedge</w:t>
      </w:r>
      <w:r>
        <w:br/>
      </w:r>
      <w:r>
        <w:rPr>
          <w:rStyle w:val="VerbatimChar"/>
        </w:rPr>
        <w:t xml:space="preserve">  Telemetry SDK v1 (LLM app logging)     :c1, 2026-06-01, 75d</w:t>
      </w:r>
      <w:r>
        <w:br/>
      </w:r>
      <w:r>
        <w:rPr>
          <w:rStyle w:val="VerbatimChar"/>
        </w:rPr>
        <w:t xml:space="preserve">  Pilot: 1-3 systems instrumented        :c2, 2026-06-15, 90d</w:t>
      </w:r>
      <w:r>
        <w:br/>
      </w:r>
      <w:r>
        <w:br/>
      </w:r>
      <w:r>
        <w:rPr>
          <w:rStyle w:val="VerbatimChar"/>
        </w:rPr>
        <w:t xml:space="preserve">  section Trust &amp; enterprise readiness</w:t>
      </w:r>
      <w:r>
        <w:br/>
      </w:r>
      <w:r>
        <w:rPr>
          <w:rStyle w:val="VerbatimChar"/>
        </w:rPr>
        <w:t xml:space="preserve">  Security architecture + SOC2-ready ops :d1, 2026-06-15, 120d</w:t>
      </w:r>
      <w:r>
        <w:br/>
      </w:r>
      <w:r>
        <w:rPr>
          <w:rStyle w:val="VerbatimChar"/>
        </w:rPr>
        <w:t xml:space="preserve">  Marketplace readiness (Azure/AWS/GCP)  :d2, 2026-08-01, 90d</w:t>
      </w:r>
      <w:r>
        <w:br/>
      </w:r>
      <w:r>
        <w:br/>
      </w:r>
      <w:r>
        <w:rPr>
          <w:rStyle w:val="VerbatimChar"/>
        </w:rPr>
        <w:t xml:space="preserve">  section GTM scale</w:t>
      </w:r>
      <w:r>
        <w:br/>
      </w:r>
      <w:r>
        <w:rPr>
          <w:rStyle w:val="VerbatimChar"/>
        </w:rPr>
        <w:t xml:space="preserve">  First 5 enterprise contracts           :e1, 2026-09-01, 120d</w:t>
      </w:r>
      <w:r>
        <w:br/>
      </w:r>
      <w:r>
        <w:rPr>
          <w:rStyle w:val="VerbatimChar"/>
        </w:rPr>
        <w:t xml:space="preserve">  Partner motion (consultancy + GRC)     :e2, 2026-09-15, 120d</w:t>
      </w:r>
      <w:r>
        <w:br/>
      </w:r>
      <w:r>
        <w:rPr>
          <w:rStyle w:val="VerbatimChar"/>
        </w:rPr>
        <w:t xml:space="preserve">  Public launch + authority content      :e3, 2026-10-01, 90d</w:t>
      </w:r>
    </w:p>
    <w:bookmarkEnd w:id="75"/>
    <w:bookmarkStart w:id="77" w:name="risks-and-mitigations"/>
    <w:p>
      <w:pPr>
        <w:pStyle w:val="Heading3"/>
      </w:pPr>
      <w:r>
        <w:t xml:space="preserve">Risks and mitigations</w:t>
      </w:r>
    </w:p>
    <w:p>
      <w:pPr>
        <w:pStyle w:val="FirstParagraph"/>
      </w:pPr>
      <w:r>
        <w:rPr>
          <w:b/>
          <w:bCs/>
        </w:rPr>
        <w:t xml:space="preserve">Regulatory timeline uncertainty (EU Digital Omnibus proposal)</w:t>
      </w:r>
      <w:r>
        <w:br/>
      </w:r>
      <w:r>
        <w:t xml:space="preserve">- Risk: changing high-risk deadlines could disrupt urgency narratives.</w:t>
      </w:r>
      <w:r>
        <w:br/>
      </w:r>
      <w:r>
        <w:t xml:space="preserve">- Mitigation: sell on “compliance operations + auditability + safe scaling” (needed regardless of exact date) and keep legal mapping continuously updated; explicitly support both current law and proposed amendments in your roadmap tracker.</w:t>
      </w:r>
      <w:r>
        <w:t xml:space="preserve"> </w:t>
      </w:r>
      <w:hyperlink r:id="rId30">
        <w:r>
          <w:rPr>
            <w:rStyle w:val="Hyperlink"/>
          </w:rPr>
          <w:t xml:space="preserve">[52]</w:t>
        </w:r>
      </w:hyperlink>
    </w:p>
    <w:p>
      <w:pPr>
        <w:pStyle w:val="BodyText"/>
      </w:pPr>
      <w:r>
        <w:rPr>
          <w:b/>
          <w:bCs/>
        </w:rPr>
        <w:t xml:space="preserve">Crowded category and incumbent platforms</w:t>
      </w:r>
      <w:r>
        <w:br/>
      </w:r>
      <w:r>
        <w:t xml:space="preserve">- Risk: enterprise buyers compare you to established governance vendors.</w:t>
      </w:r>
      <w:r>
        <w:br/>
      </w:r>
      <w:r>
        <w:t xml:space="preserve">- Mitigation: win with the telemetry/evidence wedge: prove runtime control effectiveness, not just policy storage; ship integrations faster than incumbents can.</w:t>
      </w:r>
      <w:r>
        <w:t xml:space="preserve"> </w:t>
      </w:r>
      <w:hyperlink r:id="rId76">
        <w:r>
          <w:rPr>
            <w:rStyle w:val="Hyperlink"/>
          </w:rPr>
          <w:t xml:space="preserve">[53]</w:t>
        </w:r>
      </w:hyperlink>
    </w:p>
    <w:p>
      <w:pPr>
        <w:pStyle w:val="BodyText"/>
      </w:pPr>
      <w:r>
        <w:rPr>
          <w:b/>
          <w:bCs/>
        </w:rPr>
        <w:t xml:space="preserve">Enterprise procurement friction (security reviews)</w:t>
      </w:r>
      <w:r>
        <w:br/>
      </w:r>
      <w:r>
        <w:t xml:space="preserve">- Risk: deals stall without SSO/SCIM/audit logs and strong security posture.</w:t>
      </w:r>
      <w:r>
        <w:br/>
      </w:r>
      <w:r>
        <w:t xml:space="preserve">- Mitigation: build enterprise identity and audit primitives early (OIDC, OAuth 2.0, SCIM, immutable audit logs); align internal controls for SOC 2 expectations.</w:t>
      </w:r>
      <w:r>
        <w:t xml:space="preserve"> </w:t>
      </w:r>
      <w:hyperlink r:id="rId45">
        <w:r>
          <w:rPr>
            <w:rStyle w:val="Hyperlink"/>
          </w:rPr>
          <w:t xml:space="preserve">[54]</w:t>
        </w:r>
      </w:hyperlink>
    </w:p>
    <w:p>
      <w:pPr>
        <w:pStyle w:val="BodyText"/>
      </w:pPr>
      <w:r>
        <w:rPr>
          <w:b/>
          <w:bCs/>
        </w:rPr>
        <w:t xml:space="preserve">Integration complexity and “over-building”</w:t>
      </w:r>
      <w:r>
        <w:br/>
      </w:r>
      <w:r>
        <w:t xml:space="preserve">- Risk: too many connectors delay MVP and blur value.</w:t>
      </w:r>
      <w:r>
        <w:br/>
      </w:r>
      <w:r>
        <w:t xml:space="preserve">- Mitigation: choose one primary workflow integration and one telemetry path for the MVP; make everything else API-first with clear partner hooks (OpenAPI).</w:t>
      </w:r>
      <w:r>
        <w:t xml:space="preserve"> </w:t>
      </w:r>
      <w:hyperlink r:id="rId47">
        <w:r>
          <w:rPr>
            <w:rStyle w:val="Hyperlink"/>
          </w:rPr>
          <w:t xml:space="preserve">[22]</w:t>
        </w:r>
      </w:hyperlink>
    </w:p>
    <w:p>
      <w:pPr>
        <w:pStyle w:val="BodyText"/>
      </w:pPr>
      <w:r>
        <w:rPr>
          <w:b/>
          <w:bCs/>
        </w:rPr>
        <w:t xml:space="preserve">ROI skepticism (“governance is overhead”)</w:t>
      </w:r>
      <w:r>
        <w:br/>
      </w:r>
      <w:r>
        <w:t xml:space="preserve">- Risk: buyers delay purchase if they see governance as non-revenue, especially when AI ROI is under scrutiny.</w:t>
      </w:r>
      <w:r>
        <w:br/>
      </w:r>
      <w:r>
        <w:t xml:space="preserve">- Mitigation: quantify productivity gains via cycle-time reduction (approval days → hours), reduced manual audit effort, and reduced incident costs; align with the reality that organizations are mitigating multiple gen-AI risks and have experienced consequences.</w:t>
      </w:r>
      <w:r>
        <w:t xml:space="preserve"> </w:t>
      </w:r>
      <w:hyperlink r:id="rId22">
        <w:r>
          <w:rPr>
            <w:rStyle w:val="Hyperlink"/>
          </w:rPr>
          <w:t xml:space="preserve">[2]</w:t>
        </w:r>
      </w:hyperlink>
    </w:p>
    <w:bookmarkEnd w:id="77"/>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hyperlink r:id="rId21">
        <w:r>
          <w:rPr>
            <w:rStyle w:val="Hyperlink"/>
          </w:rPr>
          <w:t xml:space="preserve">[23]</w:t>
        </w:r>
      </w:hyperlink>
      <w:r>
        <w:t xml:space="preserve"> </w:t>
      </w:r>
      <w:r>
        <w:t xml:space="preserve">https://ai-act-service-desk.ec.europa.eu/en/ai-act/article-113</w:t>
      </w:r>
    </w:p>
    <w:p>
      <w:pPr>
        <w:pStyle w:val="BodyText"/>
      </w:pPr>
      <w:hyperlink r:id="rId21">
        <w:r>
          <w:rPr>
            <w:rStyle w:val="Hyperlink"/>
          </w:rPr>
          <w:t xml:space="preserve">https://ai-act-service-desk.ec.europa.eu/en/ai-act/article-113</w:t>
        </w:r>
      </w:hyperlink>
    </w:p>
    <w:p>
      <w:pPr>
        <w:pStyle w:val="BodyText"/>
      </w:pPr>
      <w:hyperlink r:id="rId22">
        <w:r>
          <w:rPr>
            <w:rStyle w:val="Hyperlink"/>
          </w:rPr>
          <w:t xml:space="preserve">[2]</w:t>
        </w:r>
      </w:hyperlink>
      <w:r>
        <w:t xml:space="preserve"> </w:t>
      </w:r>
      <w:hyperlink r:id="rId22">
        <w:r>
          <w:rPr>
            <w:rStyle w:val="Hyperlink"/>
          </w:rPr>
          <w:t xml:space="preserve">[42]</w:t>
        </w:r>
      </w:hyperlink>
      <w:r>
        <w:t xml:space="preserve"> </w:t>
      </w:r>
      <w:hyperlink r:id="rId22">
        <w:r>
          <w:rPr>
            <w:rStyle w:val="Hyperlink"/>
          </w:rPr>
          <w:t xml:space="preserve">[51]</w:t>
        </w:r>
      </w:hyperlink>
      <w:r>
        <w:t xml:space="preserve"> </w:t>
      </w:r>
      <w:r>
        <w:t xml:space="preserve">https://www.mckinsey.com/~/media/mckinsey/business%20functions/quantumblack/our%20insights/the%20state%20of%20ai/2025/the-state-of-ai-how-organizations-are-rewiring-to-capture-value_final.pdf</w:t>
      </w:r>
    </w:p>
    <w:p>
      <w:pPr>
        <w:pStyle w:val="BodyText"/>
      </w:pPr>
      <w:hyperlink r:id="rId22">
        <w:r>
          <w:rPr>
            <w:rStyle w:val="Hyperlink"/>
          </w:rPr>
          <w:t xml:space="preserve">https://www.mckinsey.com/~/media/mckinsey/business%20functions/quantumblack/our%20insights/the%20state%20of%20ai/2025/the-state-of-ai-how-organizations-are-rewiring-to-capture-value_final.pdf</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r>
        <w:t xml:space="preserve">https://www.gov.ie/en/department-of-enterprise-tourism-and-employment/publications/eu-artificial-intelligence-ai-act/</w:t>
      </w:r>
    </w:p>
    <w:p>
      <w:pPr>
        <w:pStyle w:val="BodyText"/>
      </w:pPr>
      <w:hyperlink r:id="rId23">
        <w:r>
          <w:rPr>
            <w:rStyle w:val="Hyperlink"/>
          </w:rPr>
          <w:t xml:space="preserve">https://www.gov.ie/en/department-of-enterprise-tourism-and-employment/publications/eu-artificial-intelligence-ai-act/</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[13]</w:t>
        </w:r>
      </w:hyperlink>
      <w:r>
        <w:t xml:space="preserve"> </w:t>
      </w:r>
      <w:hyperlink r:id="rId24">
        <w:r>
          <w:rPr>
            <w:rStyle w:val="Hyperlink"/>
          </w:rPr>
          <w:t xml:space="preserve">[14]</w:t>
        </w:r>
      </w:hyperlink>
      <w:r>
        <w:t xml:space="preserve"> </w:t>
      </w:r>
      <w:hyperlink r:id="rId24">
        <w:r>
          <w:rPr>
            <w:rStyle w:val="Hyperlink"/>
          </w:rPr>
          <w:t xml:space="preserve">[36]</w:t>
        </w:r>
      </w:hyperlink>
      <w:r>
        <w:t xml:space="preserve"> </w:t>
      </w:r>
      <w:r>
        <w:t xml:space="preserve">https://www.europarl.europa.eu/topics/en/article/20230601STO93804/eu-ai-act-first-regulation-on-artificial-intelligence</w:t>
      </w:r>
    </w:p>
    <w:p>
      <w:pPr>
        <w:pStyle w:val="BodyText"/>
      </w:pPr>
      <w:hyperlink r:id="rId24">
        <w:r>
          <w:rPr>
            <w:rStyle w:val="Hyperlink"/>
          </w:rPr>
          <w:t xml:space="preserve">https://www.europarl.europa.eu/topics/en/article/20230601STO93804/eu-ai-act-first-regulation-on-artificial-intelligence</w:t>
        </w:r>
      </w:hyperlink>
    </w:p>
    <w:p>
      <w:pPr>
        <w:pStyle w:val="BodyText"/>
      </w:pPr>
      <w:hyperlink r:id="rId25">
        <w:r>
          <w:rPr>
            <w:rStyle w:val="Hyperlink"/>
          </w:rPr>
          <w:t xml:space="preserve">[5]</w:t>
        </w:r>
      </w:hyperlink>
      <w:r>
        <w:t xml:space="preserve"> </w:t>
      </w:r>
      <w:hyperlink r:id="rId25">
        <w:r>
          <w:rPr>
            <w:rStyle w:val="Hyperlink"/>
          </w:rPr>
          <w:t xml:space="preserve">[38]</w:t>
        </w:r>
      </w:hyperlink>
      <w:r>
        <w:t xml:space="preserve"> </w:t>
      </w:r>
      <w:hyperlink r:id="rId25">
        <w:r>
          <w:rPr>
            <w:rStyle w:val="Hyperlink"/>
          </w:rPr>
          <w:t xml:space="preserve">[44]</w:t>
        </w:r>
      </w:hyperlink>
      <w:r>
        <w:t xml:space="preserve"> </w:t>
      </w:r>
      <w:hyperlink r:id="rId25">
        <w:r>
          <w:rPr>
            <w:rStyle w:val="Hyperlink"/>
          </w:rPr>
          <w:t xml:space="preserve">[47]</w:t>
        </w:r>
      </w:hyperlink>
      <w:r>
        <w:t xml:space="preserve"> </w:t>
      </w:r>
      <w:r>
        <w:t xml:space="preserve">Create a SaaS offer in Microsoft Marketplace</w:t>
      </w:r>
    </w:p>
    <w:p>
      <w:pPr>
        <w:pStyle w:val="BodyText"/>
      </w:pPr>
      <w:hyperlink r:id="rId25">
        <w:r>
          <w:rPr>
            <w:rStyle w:val="Hyperlink"/>
          </w:rPr>
          <w:t xml:space="preserve">https://learn.microsoft.com/en-us/partner-center/marketplace-offers/create-new-saas-offer?utm_source=chatgpt.com</w:t>
        </w:r>
      </w:hyperlink>
    </w:p>
    <w:p>
      <w:pPr>
        <w:pStyle w:val="BodyText"/>
      </w:pPr>
      <w:hyperlink r:id="rId29">
        <w:r>
          <w:rPr>
            <w:rStyle w:val="Hyperlink"/>
          </w:rPr>
          <w:t xml:space="preserve">[8]</w:t>
        </w:r>
      </w:hyperlink>
      <w:r>
        <w:t xml:space="preserve"> </w:t>
      </w:r>
      <w:r>
        <w:t xml:space="preserve">https://www.finops.org/introduction/what-is-finops/</w:t>
      </w:r>
    </w:p>
    <w:p>
      <w:pPr>
        <w:pStyle w:val="BodyText"/>
      </w:pPr>
      <w:hyperlink r:id="rId29">
        <w:r>
          <w:rPr>
            <w:rStyle w:val="Hyperlink"/>
          </w:rPr>
          <w:t xml:space="preserve">https://www.finops.org/introduction/what-is-finops/</w:t>
        </w:r>
      </w:hyperlink>
    </w:p>
    <w:p>
      <w:pPr>
        <w:pStyle w:val="BodyText"/>
      </w:pPr>
      <w:hyperlink r:id="rId30">
        <w:r>
          <w:rPr>
            <w:rStyle w:val="Hyperlink"/>
          </w:rPr>
          <w:t xml:space="preserve">[9]</w:t>
        </w:r>
      </w:hyperlink>
      <w:r>
        <w:t xml:space="preserve"> </w:t>
      </w:r>
      <w:hyperlink r:id="rId30">
        <w:r>
          <w:rPr>
            <w:rStyle w:val="Hyperlink"/>
          </w:rPr>
          <w:t xml:space="preserve">[25]</w:t>
        </w:r>
      </w:hyperlink>
      <w:r>
        <w:t xml:space="preserve"> </w:t>
      </w:r>
      <w:hyperlink r:id="rId30">
        <w:r>
          <w:rPr>
            <w:rStyle w:val="Hyperlink"/>
          </w:rPr>
          <w:t xml:space="preserve">[52]</w:t>
        </w:r>
      </w:hyperlink>
      <w:r>
        <w:t xml:space="preserve"> </w:t>
      </w:r>
      <w:r>
        <w:t xml:space="preserve">https://digital-strategy.ec.europa.eu/en/library/digital-omnibus-ai-regulation-proposal</w:t>
      </w:r>
    </w:p>
    <w:p>
      <w:pPr>
        <w:pStyle w:val="BodyText"/>
      </w:pPr>
      <w:hyperlink r:id="rId30">
        <w:r>
          <w:rPr>
            <w:rStyle w:val="Hyperlink"/>
          </w:rPr>
          <w:t xml:space="preserve">https://digital-strategy.ec.europa.eu/en/library/digital-omnibus-ai-regulation-proposal</w:t>
        </w:r>
      </w:hyperlink>
    </w:p>
    <w:p>
      <w:pPr>
        <w:pStyle w:val="BodyText"/>
      </w:pPr>
      <w:hyperlink r:id="rId34">
        <w:r>
          <w:rPr>
            <w:rStyle w:val="Hyperlink"/>
          </w:rPr>
          <w:t xml:space="preserve">[11]</w:t>
        </w:r>
      </w:hyperlink>
      <w:r>
        <w:t xml:space="preserve"> </w:t>
      </w:r>
      <w:hyperlink r:id="rId34">
        <w:r>
          <w:rPr>
            <w:rStyle w:val="Hyperlink"/>
          </w:rPr>
          <w:t xml:space="preserve">[37]</w:t>
        </w:r>
      </w:hyperlink>
      <w:r>
        <w:t xml:space="preserve"> </w:t>
      </w:r>
      <w:r>
        <w:t xml:space="preserve">https://loopio.com/pricing/</w:t>
      </w:r>
    </w:p>
    <w:p>
      <w:pPr>
        <w:pStyle w:val="BodyText"/>
      </w:pPr>
      <w:hyperlink r:id="rId34">
        <w:r>
          <w:rPr>
            <w:rStyle w:val="Hyperlink"/>
          </w:rPr>
          <w:t xml:space="preserve">https://loopio.com/pricing/</w:t>
        </w:r>
      </w:hyperlink>
    </w:p>
    <w:p>
      <w:pPr>
        <w:pStyle w:val="BodyText"/>
      </w:pPr>
      <w:hyperlink r:id="rId35">
        <w:r>
          <w:rPr>
            <w:rStyle w:val="Hyperlink"/>
          </w:rPr>
          <w:t xml:space="preserve">[12]</w:t>
        </w:r>
      </w:hyperlink>
      <w:r>
        <w:t xml:space="preserve"> </w:t>
      </w:r>
      <w:r>
        <w:t xml:space="preserve">https://data.finops.org/</w:t>
      </w:r>
    </w:p>
    <w:p>
      <w:pPr>
        <w:pStyle w:val="BodyText"/>
      </w:pPr>
      <w:hyperlink r:id="rId35">
        <w:r>
          <w:rPr>
            <w:rStyle w:val="Hyperlink"/>
          </w:rPr>
          <w:t xml:space="preserve">https://data.finops.org/</w:t>
        </w:r>
      </w:hyperlink>
    </w:p>
    <w:p>
      <w:pPr>
        <w:pStyle w:val="BodyText"/>
      </w:pPr>
      <w:hyperlink r:id="rId37">
        <w:r>
          <w:rPr>
            <w:rStyle w:val="Hyperlink"/>
          </w:rPr>
          <w:t xml:space="preserve">[15]</w:t>
        </w:r>
      </w:hyperlink>
      <w:r>
        <w:t xml:space="preserve"> </w:t>
      </w:r>
      <w:r>
        <w:t xml:space="preserve">Credo AI - The Trusted Leader in AI Governance</w:t>
      </w:r>
    </w:p>
    <w:p>
      <w:pPr>
        <w:pStyle w:val="BodyText"/>
      </w:pPr>
      <w:hyperlink r:id="rId37">
        <w:r>
          <w:rPr>
            <w:rStyle w:val="Hyperlink"/>
          </w:rPr>
          <w:t xml:space="preserve">https://www.credo.ai/?utm_source=chatgpt.com</w:t>
        </w:r>
      </w:hyperlink>
    </w:p>
    <w:p>
      <w:pPr>
        <w:pStyle w:val="BodyText"/>
      </w:pPr>
      <w:hyperlink r:id="rId41">
        <w:r>
          <w:rPr>
            <w:rStyle w:val="Hyperlink"/>
          </w:rPr>
          <w:t xml:space="preserve">[17]</w:t>
        </w:r>
      </w:hyperlink>
      <w:r>
        <w:t xml:space="preserve"> </w:t>
      </w:r>
      <w:r>
        <w:t xml:space="preserve">Artificial Intelligence Risk Management Framework (AI ...</w:t>
      </w:r>
    </w:p>
    <w:p>
      <w:pPr>
        <w:pStyle w:val="BodyText"/>
      </w:pPr>
      <w:hyperlink r:id="rId41">
        <w:r>
          <w:rPr>
            <w:rStyle w:val="Hyperlink"/>
          </w:rPr>
          <w:t xml:space="preserve">https://nvlpubs.nist.gov/nistpubs/ai/nist.ai.100-1.pdf?utm_source=chatgpt.com</w:t>
        </w:r>
      </w:hyperlink>
    </w:p>
    <w:p>
      <w:pPr>
        <w:pStyle w:val="BodyText"/>
      </w:pPr>
      <w:hyperlink r:id="rId42">
        <w:r>
          <w:rPr>
            <w:rStyle w:val="Hyperlink"/>
          </w:rPr>
          <w:t xml:space="preserve">[18]</w:t>
        </w:r>
      </w:hyperlink>
      <w:r>
        <w:t xml:space="preserve"> </w:t>
      </w:r>
      <w:hyperlink r:id="rId42">
        <w:r>
          <w:rPr>
            <w:rStyle w:val="Hyperlink"/>
          </w:rPr>
          <w:t xml:space="preserve">[34]</w:t>
        </w:r>
      </w:hyperlink>
      <w:r>
        <w:t xml:space="preserve"> </w:t>
      </w:r>
      <w:hyperlink r:id="rId42">
        <w:r>
          <w:rPr>
            <w:rStyle w:val="Hyperlink"/>
          </w:rPr>
          <w:t xml:space="preserve">[49]</w:t>
        </w:r>
      </w:hyperlink>
      <w:r>
        <w:t xml:space="preserve"> </w:t>
      </w:r>
      <w:r>
        <w:t xml:space="preserve">ISO/IEC 42001:2023 - AI management systems</w:t>
      </w:r>
    </w:p>
    <w:p>
      <w:pPr>
        <w:pStyle w:val="BodyText"/>
      </w:pPr>
      <w:hyperlink r:id="rId42">
        <w:r>
          <w:rPr>
            <w:rStyle w:val="Hyperlink"/>
          </w:rPr>
          <w:t xml:space="preserve">https://www.iso.org/standard/42001?utm_source=chatgpt.com</w:t>
        </w:r>
      </w:hyperlink>
    </w:p>
    <w:p>
      <w:pPr>
        <w:pStyle w:val="BodyText"/>
      </w:pPr>
      <w:hyperlink r:id="rId44">
        <w:r>
          <w:rPr>
            <w:rStyle w:val="Hyperlink"/>
          </w:rPr>
          <w:t xml:space="preserve">[19]</w:t>
        </w:r>
      </w:hyperlink>
      <w:r>
        <w:t xml:space="preserve"> </w:t>
      </w:r>
      <w:r>
        <w:t xml:space="preserve">https://datatracker.ietf.org/doc/html/rfc6749</w:t>
      </w:r>
    </w:p>
    <w:p>
      <w:pPr>
        <w:pStyle w:val="BodyText"/>
      </w:pPr>
      <w:hyperlink r:id="rId44">
        <w:r>
          <w:rPr>
            <w:rStyle w:val="Hyperlink"/>
          </w:rPr>
          <w:t xml:space="preserve">https://datatracker.ietf.org/doc/html/rfc6749</w:t>
        </w:r>
      </w:hyperlink>
    </w:p>
    <w:p>
      <w:pPr>
        <w:pStyle w:val="BodyText"/>
      </w:pPr>
      <w:hyperlink r:id="rId45">
        <w:r>
          <w:rPr>
            <w:rStyle w:val="Hyperlink"/>
          </w:rPr>
          <w:t xml:space="preserve">[20]</w:t>
        </w:r>
      </w:hyperlink>
      <w:r>
        <w:t xml:space="preserve"> </w:t>
      </w:r>
      <w:hyperlink r:id="rId45">
        <w:r>
          <w:rPr>
            <w:rStyle w:val="Hyperlink"/>
          </w:rPr>
          <w:t xml:space="preserve">[30]</w:t>
        </w:r>
      </w:hyperlink>
      <w:r>
        <w:t xml:space="preserve"> </w:t>
      </w:r>
      <w:hyperlink r:id="rId45">
        <w:r>
          <w:rPr>
            <w:rStyle w:val="Hyperlink"/>
          </w:rPr>
          <w:t xml:space="preserve">[54]</w:t>
        </w:r>
      </w:hyperlink>
      <w:r>
        <w:t xml:space="preserve"> </w:t>
      </w:r>
      <w:r>
        <w:t xml:space="preserve">https://openid.net/specs/openid-connect-core-1_0.html</w:t>
      </w:r>
    </w:p>
    <w:p>
      <w:pPr>
        <w:pStyle w:val="BodyText"/>
      </w:pPr>
      <w:hyperlink r:id="rId45">
        <w:r>
          <w:rPr>
            <w:rStyle w:val="Hyperlink"/>
          </w:rPr>
          <w:t xml:space="preserve">https://openid.net/specs/openid-connect-core-1_0.html</w:t>
        </w:r>
      </w:hyperlink>
    </w:p>
    <w:p>
      <w:pPr>
        <w:pStyle w:val="BodyText"/>
      </w:pPr>
      <w:hyperlink r:id="rId46">
        <w:r>
          <w:rPr>
            <w:rStyle w:val="Hyperlink"/>
          </w:rPr>
          <w:t xml:space="preserve">[21]</w:t>
        </w:r>
      </w:hyperlink>
      <w:r>
        <w:t xml:space="preserve"> </w:t>
      </w:r>
      <w:r>
        <w:t xml:space="preserve">https://datatracker.ietf.org/doc/html/rfc7644</w:t>
      </w:r>
    </w:p>
    <w:p>
      <w:pPr>
        <w:pStyle w:val="BodyText"/>
      </w:pPr>
      <w:hyperlink r:id="rId46">
        <w:r>
          <w:rPr>
            <w:rStyle w:val="Hyperlink"/>
          </w:rPr>
          <w:t xml:space="preserve">https://datatracker.ietf.org/doc/html/rfc7644</w:t>
        </w:r>
      </w:hyperlink>
    </w:p>
    <w:p>
      <w:pPr>
        <w:pStyle w:val="BodyText"/>
      </w:pPr>
      <w:hyperlink r:id="rId47">
        <w:r>
          <w:rPr>
            <w:rStyle w:val="Hyperlink"/>
          </w:rPr>
          <w:t xml:space="preserve">[22]</w:t>
        </w:r>
      </w:hyperlink>
      <w:r>
        <w:t xml:space="preserve"> </w:t>
      </w:r>
      <w:hyperlink r:id="rId47">
        <w:r>
          <w:rPr>
            <w:rStyle w:val="Hyperlink"/>
          </w:rPr>
          <w:t xml:space="preserve">[27]</w:t>
        </w:r>
      </w:hyperlink>
      <w:r>
        <w:t xml:space="preserve"> </w:t>
      </w:r>
      <w:hyperlink r:id="rId47">
        <w:r>
          <w:rPr>
            <w:rStyle w:val="Hyperlink"/>
          </w:rPr>
          <w:t xml:space="preserve">[31]</w:t>
        </w:r>
      </w:hyperlink>
      <w:r>
        <w:t xml:space="preserve"> </w:t>
      </w:r>
      <w:r>
        <w:t xml:space="preserve">https://spec.openapis.org/oas/v3.1.0.html</w:t>
      </w:r>
    </w:p>
    <w:p>
      <w:pPr>
        <w:pStyle w:val="BodyText"/>
      </w:pPr>
      <w:hyperlink r:id="rId47">
        <w:r>
          <w:rPr>
            <w:rStyle w:val="Hyperlink"/>
          </w:rPr>
          <w:t xml:space="preserve">https://spec.openapis.org/oas/v3.1.0.html</w:t>
        </w:r>
      </w:hyperlink>
    </w:p>
    <w:p>
      <w:pPr>
        <w:pStyle w:val="BodyText"/>
      </w:pPr>
      <w:hyperlink r:id="rId51">
        <w:r>
          <w:rPr>
            <w:rStyle w:val="Hyperlink"/>
          </w:rPr>
          <w:t xml:space="preserve">[24]</w:t>
        </w:r>
      </w:hyperlink>
      <w:r>
        <w:t xml:space="preserve"> </w:t>
      </w:r>
      <w:hyperlink r:id="rId51">
        <w:r>
          <w:rPr>
            <w:rStyle w:val="Hyperlink"/>
          </w:rPr>
          <w:t xml:space="preserve">[35]</w:t>
        </w:r>
      </w:hyperlink>
      <w:r>
        <w:t xml:space="preserve"> </w:t>
      </w:r>
      <w:r>
        <w:t xml:space="preserve">Gartner Forecasts Worldwide IT Spending to Grow 9.8% in ...</w:t>
      </w:r>
    </w:p>
    <w:p>
      <w:pPr>
        <w:pStyle w:val="BodyText"/>
      </w:pPr>
      <w:hyperlink r:id="rId51">
        <w:r>
          <w:rPr>
            <w:rStyle w:val="Hyperlink"/>
          </w:rPr>
          <w:t xml:space="preserve">https://www.gartner.com/en/newsroom/press-releases/2025-01-21-gartner-forecasts-worldwide-it-spending-to-grow-9-point-8-percent-in-2025?utm_source=chatgpt.com</w:t>
        </w:r>
      </w:hyperlink>
    </w:p>
    <w:p>
      <w:pPr>
        <w:pStyle w:val="BodyText"/>
      </w:pPr>
      <w:hyperlink r:id="rId52">
        <w:r>
          <w:rPr>
            <w:rStyle w:val="Hyperlink"/>
          </w:rPr>
          <w:t xml:space="preserve">[26]</w:t>
        </w:r>
      </w:hyperlink>
      <w:r>
        <w:t xml:space="preserve"> </w:t>
      </w:r>
      <w:r>
        <w:t xml:space="preserve">https://www.edpb.europa.eu/system/files/2026-01/edpb_edps_jointopinion_202601_proposal_ai-omnibus_en.pdf</w:t>
      </w:r>
    </w:p>
    <w:p>
      <w:pPr>
        <w:pStyle w:val="BodyText"/>
      </w:pPr>
      <w:hyperlink r:id="rId52">
        <w:r>
          <w:rPr>
            <w:rStyle w:val="Hyperlink"/>
          </w:rPr>
          <w:t xml:space="preserve">https://www.edpb.europa.eu/system/files/2026-01/edpb_edps_jointopinion_202601_proposal_ai-omnibus_en.pdf</w:t>
        </w:r>
      </w:hyperlink>
    </w:p>
    <w:p>
      <w:pPr>
        <w:pStyle w:val="BodyText"/>
      </w:pPr>
      <w:hyperlink r:id="rId53">
        <w:r>
          <w:rPr>
            <w:rStyle w:val="Hyperlink"/>
          </w:rPr>
          <w:t xml:space="preserve">[28]</w:t>
        </w:r>
      </w:hyperlink>
      <w:r>
        <w:t xml:space="preserve"> </w:t>
      </w:r>
      <w:r>
        <w:t xml:space="preserve">SOC 2® - SOC for Service Organizations</w:t>
      </w:r>
    </w:p>
    <w:p>
      <w:pPr>
        <w:pStyle w:val="BodyText"/>
      </w:pPr>
      <w:hyperlink r:id="rId53">
        <w:r>
          <w:rPr>
            <w:rStyle w:val="Hyperlink"/>
          </w:rPr>
          <w:t xml:space="preserve">https://www.aicpa-cima.com/topic/audit-assurance/audit-and-assurance-greater-than-soc-2?utm_source=chatgpt.com</w:t>
        </w:r>
      </w:hyperlink>
    </w:p>
    <w:p>
      <w:pPr>
        <w:pStyle w:val="BodyText"/>
      </w:pPr>
      <w:hyperlink r:id="rId54">
        <w:r>
          <w:rPr>
            <w:rStyle w:val="Hyperlink"/>
          </w:rPr>
          <w:t xml:space="preserve">[29]</w:t>
        </w:r>
      </w:hyperlink>
      <w:r>
        <w:t xml:space="preserve"> </w:t>
      </w:r>
      <w:r>
        <w:t xml:space="preserve">Art. 32 GDPR – Security of processing</w:t>
      </w:r>
    </w:p>
    <w:p>
      <w:pPr>
        <w:pStyle w:val="BodyText"/>
      </w:pPr>
      <w:hyperlink r:id="rId54">
        <w:r>
          <w:rPr>
            <w:rStyle w:val="Hyperlink"/>
          </w:rPr>
          <w:t xml:space="preserve">https://gdpr-info.eu/art-32-gdpr/?utm_source=chatgpt.com</w:t>
        </w:r>
      </w:hyperlink>
    </w:p>
    <w:p>
      <w:pPr>
        <w:pStyle w:val="BodyText"/>
      </w:pPr>
      <w:hyperlink r:id="rId58">
        <w:r>
          <w:rPr>
            <w:rStyle w:val="Hyperlink"/>
          </w:rPr>
          <w:t xml:space="preserve">[32]</w:t>
        </w:r>
      </w:hyperlink>
      <w:r>
        <w:t xml:space="preserve"> </w:t>
      </w:r>
      <w:hyperlink r:id="rId58">
        <w:r>
          <w:rPr>
            <w:rStyle w:val="Hyperlink"/>
          </w:rPr>
          <w:t xml:space="preserve">[46]</w:t>
        </w:r>
      </w:hyperlink>
      <w:r>
        <w:t xml:space="preserve"> </w:t>
      </w:r>
      <w:r>
        <w:t xml:space="preserve">https://docs.cloud.google.com/marketplace/docs/partners/integrated-saas</w:t>
      </w:r>
    </w:p>
    <w:p>
      <w:pPr>
        <w:pStyle w:val="BodyText"/>
      </w:pPr>
      <w:hyperlink r:id="rId58">
        <w:r>
          <w:rPr>
            <w:rStyle w:val="Hyperlink"/>
          </w:rPr>
          <w:t xml:space="preserve">https://docs.cloud.google.com/marketplace/docs/partners/integrated-saas</w:t>
        </w:r>
      </w:hyperlink>
    </w:p>
    <w:p>
      <w:pPr>
        <w:pStyle w:val="BodyText"/>
      </w:pPr>
      <w:hyperlink r:id="rId59">
        <w:r>
          <w:rPr>
            <w:rStyle w:val="Hyperlink"/>
          </w:rPr>
          <w:t xml:space="preserve">[33]</w:t>
        </w:r>
      </w:hyperlink>
      <w:r>
        <w:t xml:space="preserve"> </w:t>
      </w:r>
      <w:r>
        <w:t xml:space="preserve">https://ec.europa.eu/eurostat/web/products-eurostat-news/w/ddn-20251209-2</w:t>
      </w:r>
    </w:p>
    <w:p>
      <w:pPr>
        <w:pStyle w:val="BodyText"/>
      </w:pPr>
      <w:hyperlink r:id="rId59">
        <w:r>
          <w:rPr>
            <w:rStyle w:val="Hyperlink"/>
          </w:rPr>
          <w:t xml:space="preserve">https://ec.europa.eu/eurostat/web/products-eurostat-news/w/ddn-20251209-2</w:t>
        </w:r>
      </w:hyperlink>
    </w:p>
    <w:p>
      <w:pPr>
        <w:pStyle w:val="BodyText"/>
      </w:pPr>
      <w:hyperlink r:id="rId62">
        <w:r>
          <w:rPr>
            <w:rStyle w:val="Hyperlink"/>
          </w:rPr>
          <w:t xml:space="preserve">[39]</w:t>
        </w:r>
      </w:hyperlink>
      <w:r>
        <w:t xml:space="preserve"> </w:t>
      </w:r>
      <w:r>
        <w:t xml:space="preserve">https://drata.com/grc-central/soc-2/how-much-does-a-soc-2-audit-cost</w:t>
      </w:r>
    </w:p>
    <w:p>
      <w:pPr>
        <w:pStyle w:val="BodyText"/>
      </w:pPr>
      <w:hyperlink r:id="rId62">
        <w:r>
          <w:rPr>
            <w:rStyle w:val="Hyperlink"/>
          </w:rPr>
          <w:t xml:space="preserve">https://drata.com/grc-central/soc-2/how-much-does-a-soc-2-audit-cost</w:t>
        </w:r>
      </w:hyperlink>
    </w:p>
    <w:p>
      <w:pPr>
        <w:pStyle w:val="BodyText"/>
      </w:pPr>
      <w:hyperlink r:id="rId63">
        <w:r>
          <w:rPr>
            <w:rStyle w:val="Hyperlink"/>
          </w:rPr>
          <w:t xml:space="preserve">[40]</w:t>
        </w:r>
      </w:hyperlink>
      <w:r>
        <w:t xml:space="preserve"> </w:t>
      </w:r>
      <w:hyperlink r:id="rId63">
        <w:r>
          <w:rPr>
            <w:rStyle w:val="Hyperlink"/>
          </w:rPr>
          <w:t xml:space="preserve">[43]</w:t>
        </w:r>
      </w:hyperlink>
      <w:r>
        <w:t xml:space="preserve"> </w:t>
      </w:r>
      <w:r>
        <w:t xml:space="preserve">https://docs.github.com/en/copilot/concepts/billing/organizations-and-enterprises</w:t>
      </w:r>
    </w:p>
    <w:p>
      <w:pPr>
        <w:pStyle w:val="BodyText"/>
      </w:pPr>
      <w:hyperlink r:id="rId63">
        <w:r>
          <w:rPr>
            <w:rStyle w:val="Hyperlink"/>
          </w:rPr>
          <w:t xml:space="preserve">https://docs.github.com/en/copilot/concepts/billing/organizations-and-enterprises</w:t>
        </w:r>
      </w:hyperlink>
    </w:p>
    <w:p>
      <w:pPr>
        <w:pStyle w:val="BodyText"/>
      </w:pPr>
      <w:hyperlink r:id="rId64">
        <w:r>
          <w:rPr>
            <w:rStyle w:val="Hyperlink"/>
          </w:rPr>
          <w:t xml:space="preserve">[41]</w:t>
        </w:r>
      </w:hyperlink>
      <w:r>
        <w:t xml:space="preserve"> </w:t>
      </w:r>
      <w:r>
        <w:t xml:space="preserve">https://help.openai.com/en/articles/6614209-how-do-i-check-my-token-usage</w:t>
      </w:r>
    </w:p>
    <w:p>
      <w:pPr>
        <w:pStyle w:val="BodyText"/>
      </w:pPr>
      <w:hyperlink r:id="rId64">
        <w:r>
          <w:rPr>
            <w:rStyle w:val="Hyperlink"/>
          </w:rPr>
          <w:t xml:space="preserve">https://help.openai.com/en/articles/6614209-how-do-i-check-my-token-usage</w:t>
        </w:r>
      </w:hyperlink>
    </w:p>
    <w:p>
      <w:pPr>
        <w:pStyle w:val="BodyText"/>
      </w:pPr>
      <w:hyperlink r:id="rId68">
        <w:r>
          <w:rPr>
            <w:rStyle w:val="Hyperlink"/>
          </w:rPr>
          <w:t xml:space="preserve">[45]</w:t>
        </w:r>
      </w:hyperlink>
      <w:r>
        <w:t xml:space="preserve"> </w:t>
      </w:r>
      <w:r>
        <w:t xml:space="preserve">https://docs.aws.amazon.com/marketplace/latest/userguide/saas-integrate-contract-with-pay.html</w:t>
      </w:r>
    </w:p>
    <w:p>
      <w:pPr>
        <w:pStyle w:val="BodyText"/>
      </w:pPr>
      <w:hyperlink r:id="rId68">
        <w:r>
          <w:rPr>
            <w:rStyle w:val="Hyperlink"/>
          </w:rPr>
          <w:t xml:space="preserve">https://docs.aws.amazon.com/marketplace/latest/userguide/saas-integrate-contract-with-pay.html</w:t>
        </w:r>
      </w:hyperlink>
    </w:p>
    <w:p>
      <w:pPr>
        <w:pStyle w:val="BodyText"/>
      </w:pPr>
      <w:hyperlink r:id="rId69">
        <w:r>
          <w:rPr>
            <w:rStyle w:val="Hyperlink"/>
          </w:rPr>
          <w:t xml:space="preserve">[48]</w:t>
        </w:r>
      </w:hyperlink>
      <w:r>
        <w:t xml:space="preserve"> </w:t>
      </w:r>
      <w:r>
        <w:t xml:space="preserve">https://developer.salesforce.com/docs/atlas.en-us.packagingGuide.meta/packagingGuide/security_review_how_it_works.htm</w:t>
      </w:r>
    </w:p>
    <w:p>
      <w:pPr>
        <w:pStyle w:val="BodyText"/>
      </w:pPr>
      <w:hyperlink r:id="rId69">
        <w:r>
          <w:rPr>
            <w:rStyle w:val="Hyperlink"/>
          </w:rPr>
          <w:t xml:space="preserve">https://developer.salesforce.com/docs/atlas.en-us.packagingGuide.meta/packagingGuide/security_review_how_it_works.htm</w:t>
        </w:r>
      </w:hyperlink>
    </w:p>
    <w:p>
      <w:pPr>
        <w:pStyle w:val="BodyText"/>
      </w:pPr>
      <w:hyperlink r:id="rId70">
        <w:r>
          <w:rPr>
            <w:rStyle w:val="Hyperlink"/>
          </w:rPr>
          <w:t xml:space="preserve">[50]</w:t>
        </w:r>
      </w:hyperlink>
      <w:r>
        <w:t xml:space="preserve"> </w:t>
      </w:r>
      <w:r>
        <w:t xml:space="preserve">https://support.servicenow.com/kb?id=kb_article_view&amp;sysparm_article=KB1270874</w:t>
      </w:r>
    </w:p>
    <w:p>
      <w:pPr>
        <w:pStyle w:val="BodyText"/>
      </w:pPr>
      <w:hyperlink r:id="rId70">
        <w:r>
          <w:rPr>
            <w:rStyle w:val="Hyperlink"/>
          </w:rPr>
          <w:t xml:space="preserve">https://support.servicenow.com/kb?id=kb_article_view&amp;sysparm_article=KB1270874</w:t>
        </w:r>
      </w:hyperlink>
    </w:p>
    <w:p>
      <w:pPr>
        <w:pStyle w:val="BodyText"/>
      </w:pPr>
      <w:hyperlink r:id="rId76">
        <w:r>
          <w:rPr>
            <w:rStyle w:val="Hyperlink"/>
          </w:rPr>
          <w:t xml:space="preserve">[53]</w:t>
        </w:r>
      </w:hyperlink>
      <w:r>
        <w:t xml:space="preserve"> </w:t>
      </w:r>
      <w:r>
        <w:t xml:space="preserve">Holistic AI – The Leading AI Governance Platform</w:t>
      </w:r>
    </w:p>
    <w:p>
      <w:pPr>
        <w:pStyle w:val="BodyText"/>
      </w:pPr>
      <w:hyperlink r:id="rId76">
        <w:r>
          <w:rPr>
            <w:rStyle w:val="Hyperlink"/>
          </w:rPr>
          <w:t xml:space="preserve">https://www.holisticai.com/?utm_source=chatgpt.com</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i-act-service-desk.ec.europa.eu/en/ai-act/article-113" TargetMode="External" /><Relationship Type="http://schemas.openxmlformats.org/officeDocument/2006/relationships/hyperlink" Id="rId35" Target="https://data.finops.org/" TargetMode="External" /><Relationship Type="http://schemas.openxmlformats.org/officeDocument/2006/relationships/hyperlink" Id="rId44" Target="https://datatracker.ietf.org/doc/html/rfc6749" TargetMode="External" /><Relationship Type="http://schemas.openxmlformats.org/officeDocument/2006/relationships/hyperlink" Id="rId46" Target="https://datatracker.ietf.org/doc/html/rfc7644" TargetMode="External" /><Relationship Type="http://schemas.openxmlformats.org/officeDocument/2006/relationships/hyperlink" Id="rId69" Target="https://developer.salesforce.com/docs/atlas.en-us.packagingGuide.meta/packagingGuide/security_review_how_it_works.htm" TargetMode="External" /><Relationship Type="http://schemas.openxmlformats.org/officeDocument/2006/relationships/hyperlink" Id="rId30" Target="https://digital-strategy.ec.europa.eu/en/library/digital-omnibus-ai-regulation-proposal" TargetMode="External" /><Relationship Type="http://schemas.openxmlformats.org/officeDocument/2006/relationships/hyperlink" Id="rId68" Target="https://docs.aws.amazon.com/marketplace/latest/userguide/saas-integrate-contract-with-pay.html" TargetMode="External" /><Relationship Type="http://schemas.openxmlformats.org/officeDocument/2006/relationships/hyperlink" Id="rId58" Target="https://docs.cloud.google.com/marketplace/docs/partners/integrated-saas" TargetMode="External" /><Relationship Type="http://schemas.openxmlformats.org/officeDocument/2006/relationships/hyperlink" Id="rId63" Target="https://docs.github.com/en/copilot/concepts/billing/organizations-and-enterprises" TargetMode="External" /><Relationship Type="http://schemas.openxmlformats.org/officeDocument/2006/relationships/hyperlink" Id="rId62" Target="https://drata.com/grc-central/soc-2/how-much-does-a-soc-2-audit-cost" TargetMode="External" /><Relationship Type="http://schemas.openxmlformats.org/officeDocument/2006/relationships/hyperlink" Id="rId59" Target="https://ec.europa.eu/eurostat/web/products-eurostat-news/w/ddn-20251209-2" TargetMode="External" /><Relationship Type="http://schemas.openxmlformats.org/officeDocument/2006/relationships/hyperlink" Id="rId54" Target="https://gdpr-info.eu/art-32-gdpr/?utm_source=chatgpt.com" TargetMode="External" /><Relationship Type="http://schemas.openxmlformats.org/officeDocument/2006/relationships/hyperlink" Id="rId64" Target="https://help.openai.com/en/articles/6614209-how-do-i-check-my-token-usage" TargetMode="External" /><Relationship Type="http://schemas.openxmlformats.org/officeDocument/2006/relationships/hyperlink" Id="rId25" Target="https://learn.microsoft.com/en-us/partner-center/marketplace-offers/create-new-saas-offer?utm_source=chatgpt.com" TargetMode="External" /><Relationship Type="http://schemas.openxmlformats.org/officeDocument/2006/relationships/hyperlink" Id="rId34" Target="https://loopio.com/pricing/" TargetMode="External" /><Relationship Type="http://schemas.openxmlformats.org/officeDocument/2006/relationships/hyperlink" Id="rId41" Target="https://nvlpubs.nist.gov/nistpubs/ai/nist.ai.100-1.pdf?utm_source=chatgpt.com" TargetMode="External" /><Relationship Type="http://schemas.openxmlformats.org/officeDocument/2006/relationships/hyperlink" Id="rId45" Target="https://openid.net/specs/openid-connect-core-1_0.html" TargetMode="External" /><Relationship Type="http://schemas.openxmlformats.org/officeDocument/2006/relationships/hyperlink" Id="rId47" Target="https://spec.openapis.org/oas/v3.1.0.html" TargetMode="External" /><Relationship Type="http://schemas.openxmlformats.org/officeDocument/2006/relationships/hyperlink" Id="rId70" Target="https://support.servicenow.com/kb?id=kb_article_view&amp;sysparm_article=KB1270874" TargetMode="External" /><Relationship Type="http://schemas.openxmlformats.org/officeDocument/2006/relationships/hyperlink" Id="rId53" Target="https://www.aicpa-cima.com/topic/audit-assurance/audit-and-assurance-greater-than-soc-2?utm_source=chatgpt.com" TargetMode="External" /><Relationship Type="http://schemas.openxmlformats.org/officeDocument/2006/relationships/hyperlink" Id="rId37" Target="https://www.credo.ai/?utm_source=chatgpt.com" TargetMode="External" /><Relationship Type="http://schemas.openxmlformats.org/officeDocument/2006/relationships/hyperlink" Id="rId52" Target="https://www.edpb.europa.eu/system/files/2026-01/edpb_edps_jointopinion_202601_proposal_ai-omnibus_en.pdf" TargetMode="External" /><Relationship Type="http://schemas.openxmlformats.org/officeDocument/2006/relationships/hyperlink" Id="rId24" Target="https://www.europarl.europa.eu/topics/en/article/20230601STO93804/eu-ai-act-first-regulation-on-artificial-intelligence" TargetMode="External" /><Relationship Type="http://schemas.openxmlformats.org/officeDocument/2006/relationships/hyperlink" Id="rId29" Target="https://www.finops.org/introduction/what-is-finops/" TargetMode="External" /><Relationship Type="http://schemas.openxmlformats.org/officeDocument/2006/relationships/hyperlink" Id="rId51" Target="https://www.gartner.com/en/newsroom/press-releases/2025-01-21-gartner-forecasts-worldwide-it-spending-to-grow-9-point-8-percent-in-2025?utm_source=chatgpt.com" TargetMode="External" /><Relationship Type="http://schemas.openxmlformats.org/officeDocument/2006/relationships/hyperlink" Id="rId23" Target="https://www.gov.ie/en/department-of-enterprise-tourism-and-employment/publications/eu-artificial-intelligence-ai-act/" TargetMode="External" /><Relationship Type="http://schemas.openxmlformats.org/officeDocument/2006/relationships/hyperlink" Id="rId76" Target="https://www.holisticai.com/?utm_source=chatgpt.com" TargetMode="External" /><Relationship Type="http://schemas.openxmlformats.org/officeDocument/2006/relationships/hyperlink" Id="rId42" Target="https://www.iso.org/standard/42001?utm_source=chatgpt.com" TargetMode="External" /><Relationship Type="http://schemas.openxmlformats.org/officeDocument/2006/relationships/hyperlink" Id="rId22" Target="https://www.mckinsey.com/~/media/mckinsey/business%20functions/quantumblack/our%20insights/the%20state%20of%20ai/2025/the-state-of-ai-how-organizations-are-rewiring-to-capture-value_final.pdf" TargetMode="External" /></Relationships>
</file>

<file path=word/_rels/footnotes.xml.rels><?xml version="1.0" encoding="UTF-8"?><Relationships xmlns="http://schemas.openxmlformats.org/package/2006/relationships"><Relationship Type="http://schemas.openxmlformats.org/officeDocument/2006/relationships/hyperlink" Id="rId21" Target="https://ai-act-service-desk.ec.europa.eu/en/ai-act/article-113" TargetMode="External" /><Relationship Type="http://schemas.openxmlformats.org/officeDocument/2006/relationships/hyperlink" Id="rId35" Target="https://data.finops.org/" TargetMode="External" /><Relationship Type="http://schemas.openxmlformats.org/officeDocument/2006/relationships/hyperlink" Id="rId44" Target="https://datatracker.ietf.org/doc/html/rfc6749" TargetMode="External" /><Relationship Type="http://schemas.openxmlformats.org/officeDocument/2006/relationships/hyperlink" Id="rId46" Target="https://datatracker.ietf.org/doc/html/rfc7644" TargetMode="External" /><Relationship Type="http://schemas.openxmlformats.org/officeDocument/2006/relationships/hyperlink" Id="rId69" Target="https://developer.salesforce.com/docs/atlas.en-us.packagingGuide.meta/packagingGuide/security_review_how_it_works.htm" TargetMode="External" /><Relationship Type="http://schemas.openxmlformats.org/officeDocument/2006/relationships/hyperlink" Id="rId30" Target="https://digital-strategy.ec.europa.eu/en/library/digital-omnibus-ai-regulation-proposal" TargetMode="External" /><Relationship Type="http://schemas.openxmlformats.org/officeDocument/2006/relationships/hyperlink" Id="rId68" Target="https://docs.aws.amazon.com/marketplace/latest/userguide/saas-integrate-contract-with-pay.html" TargetMode="External" /><Relationship Type="http://schemas.openxmlformats.org/officeDocument/2006/relationships/hyperlink" Id="rId58" Target="https://docs.cloud.google.com/marketplace/docs/partners/integrated-saas" TargetMode="External" /><Relationship Type="http://schemas.openxmlformats.org/officeDocument/2006/relationships/hyperlink" Id="rId63" Target="https://docs.github.com/en/copilot/concepts/billing/organizations-and-enterprises" TargetMode="External" /><Relationship Type="http://schemas.openxmlformats.org/officeDocument/2006/relationships/hyperlink" Id="rId62" Target="https://drata.com/grc-central/soc-2/how-much-does-a-soc-2-audit-cost" TargetMode="External" /><Relationship Type="http://schemas.openxmlformats.org/officeDocument/2006/relationships/hyperlink" Id="rId59" Target="https://ec.europa.eu/eurostat/web/products-eurostat-news/w/ddn-20251209-2" TargetMode="External" /><Relationship Type="http://schemas.openxmlformats.org/officeDocument/2006/relationships/hyperlink" Id="rId54" Target="https://gdpr-info.eu/art-32-gdpr/?utm_source=chatgpt.com" TargetMode="External" /><Relationship Type="http://schemas.openxmlformats.org/officeDocument/2006/relationships/hyperlink" Id="rId64" Target="https://help.openai.com/en/articles/6614209-how-do-i-check-my-token-usage" TargetMode="External" /><Relationship Type="http://schemas.openxmlformats.org/officeDocument/2006/relationships/hyperlink" Id="rId25" Target="https://learn.microsoft.com/en-us/partner-center/marketplace-offers/create-new-saas-offer?utm_source=chatgpt.com" TargetMode="External" /><Relationship Type="http://schemas.openxmlformats.org/officeDocument/2006/relationships/hyperlink" Id="rId34" Target="https://loopio.com/pricing/" TargetMode="External" /><Relationship Type="http://schemas.openxmlformats.org/officeDocument/2006/relationships/hyperlink" Id="rId41" Target="https://nvlpubs.nist.gov/nistpubs/ai/nist.ai.100-1.pdf?utm_source=chatgpt.com" TargetMode="External" /><Relationship Type="http://schemas.openxmlformats.org/officeDocument/2006/relationships/hyperlink" Id="rId45" Target="https://openid.net/specs/openid-connect-core-1_0.html" TargetMode="External" /><Relationship Type="http://schemas.openxmlformats.org/officeDocument/2006/relationships/hyperlink" Id="rId47" Target="https://spec.openapis.org/oas/v3.1.0.html" TargetMode="External" /><Relationship Type="http://schemas.openxmlformats.org/officeDocument/2006/relationships/hyperlink" Id="rId70" Target="https://support.servicenow.com/kb?id=kb_article_view&amp;sysparm_article=KB1270874" TargetMode="External" /><Relationship Type="http://schemas.openxmlformats.org/officeDocument/2006/relationships/hyperlink" Id="rId53" Target="https://www.aicpa-cima.com/topic/audit-assurance/audit-and-assurance-greater-than-soc-2?utm_source=chatgpt.com" TargetMode="External" /><Relationship Type="http://schemas.openxmlformats.org/officeDocument/2006/relationships/hyperlink" Id="rId37" Target="https://www.credo.ai/?utm_source=chatgpt.com" TargetMode="External" /><Relationship Type="http://schemas.openxmlformats.org/officeDocument/2006/relationships/hyperlink" Id="rId52" Target="https://www.edpb.europa.eu/system/files/2026-01/edpb_edps_jointopinion_202601_proposal_ai-omnibus_en.pdf" TargetMode="External" /><Relationship Type="http://schemas.openxmlformats.org/officeDocument/2006/relationships/hyperlink" Id="rId24" Target="https://www.europarl.europa.eu/topics/en/article/20230601STO93804/eu-ai-act-first-regulation-on-artificial-intelligence" TargetMode="External" /><Relationship Type="http://schemas.openxmlformats.org/officeDocument/2006/relationships/hyperlink" Id="rId29" Target="https://www.finops.org/introduction/what-is-finops/" TargetMode="External" /><Relationship Type="http://schemas.openxmlformats.org/officeDocument/2006/relationships/hyperlink" Id="rId51" Target="https://www.gartner.com/en/newsroom/press-releases/2025-01-21-gartner-forecasts-worldwide-it-spending-to-grow-9-point-8-percent-in-2025?utm_source=chatgpt.com" TargetMode="External" /><Relationship Type="http://schemas.openxmlformats.org/officeDocument/2006/relationships/hyperlink" Id="rId23" Target="https://www.gov.ie/en/department-of-enterprise-tourism-and-employment/publications/eu-artificial-intelligence-ai-act/" TargetMode="External" /><Relationship Type="http://schemas.openxmlformats.org/officeDocument/2006/relationships/hyperlink" Id="rId76" Target="https://www.holisticai.com/?utm_source=chatgpt.com" TargetMode="External" /><Relationship Type="http://schemas.openxmlformats.org/officeDocument/2006/relationships/hyperlink" Id="rId42" Target="https://www.iso.org/standard/42001?utm_source=chatgpt.com" TargetMode="External" /><Relationship Type="http://schemas.openxmlformats.org/officeDocument/2006/relationships/hyperlink" Id="rId22" Target="https://www.mckinsey.com/~/media/mckinsey/business%20functions/quantumblack/our%20insights/the%20state%20of%20ai/2025/the-state-of-ai-how-organizations-are-rewiring-to-capture-value_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2026-03-06T17:53:05Z</dcterms:created>
  <dcterms:modified xsi:type="dcterms:W3CDTF">2026-03-06T17:53:05Z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