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1599B8"/>
          <w:sz w:val="18"/>
        </w:rPr>
        <w:t>ACTURUS / PRESENTER RUNBOOK</w:t>
      </w:r>
    </w:p>
    <w:p>
      <w:pPr>
        <w:pStyle w:val="Title"/>
      </w:pPr>
      <w:r>
        <w:t>AI CONTROL GRID</w:t>
        <w:br/>
        <w:t>Live Demo Workflow</w:t>
      </w:r>
    </w:p>
    <w:p>
      <w:pPr>
        <w:pStyle w:val="Subtitle"/>
      </w:pPr>
      <w:r>
        <w:t>A reliable investor demonstration from product thesis to runtime proof</w:t>
      </w:r>
    </w:p>
    <w:p>
      <w:pPr>
        <w:spacing w:before="0" w:after="360"/>
        <w:jc w:val="left"/>
      </w:pPr>
      <w:r>
        <w:rPr>
          <w:rFonts w:ascii="Calibri" w:hAnsi="Calibri"/>
          <w:b/>
          <w:color w:val="5F6D82"/>
          <w:sz w:val="19"/>
        </w:rPr>
        <w:t>Presenter edition 1.0  |  July 2026  |  Synthetic data only</w:t>
      </w:r>
    </w:p>
    <w:tbl>
      <w:tblPr>
        <w:tblW w:type="dxa" w:w="9360"/>
        <w:jc w:val="left"/>
        <w:tblLayout w:type="fixed"/>
        <w:tblLook w:firstColumn="1" w:firstRow="1" w:lastColumn="0" w:lastRow="0" w:noHBand="0" w:noVBand="1" w:val="04A0"/>
        <w:tblInd w:w="120" w:type="dxa"/>
        <w:tblBorders>
          <w:top w:val="single" w:sz="5" w:space="0" w:color="C7D5EA"/>
          <w:left w:val="single" w:sz="5" w:space="0" w:color="C7D5EA"/>
          <w:bottom w:val="single" w:sz="5" w:space="0" w:color="C7D5EA"/>
          <w:right w:val="single" w:sz="5" w:space="0" w:color="C7D5EA"/>
          <w:insideH w:val="single" w:sz="5" w:space="0" w:color="C7D5EA"/>
          <w:insideV w:val="single" w:sz="5" w:space="0" w:color="C7D5EA"/>
        </w:tblBorders>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EAF2FF" w:val="clear"/>
          </w:tcPr>
          <w:p>
            <w:pPr>
              <w:spacing w:after="40"/>
              <w:jc w:val="center"/>
            </w:pPr>
            <w:r>
              <w:rPr>
                <w:rFonts w:ascii="Calibri" w:hAnsi="Calibri"/>
                <w:b/>
                <w:color w:val="356CFF"/>
                <w:sz w:val="24"/>
              </w:rPr>
              <w:t>15 MIN</w:t>
            </w:r>
          </w:p>
          <w:p>
            <w:pPr>
              <w:spacing w:before="0" w:after="0"/>
              <w:jc w:val="center"/>
            </w:pPr>
            <w:r>
              <w:rPr>
                <w:rFonts w:ascii="Calibri" w:hAnsi="Calibri"/>
                <w:color w:val="5F6D82"/>
                <w:sz w:val="16"/>
              </w:rPr>
              <w:t>core story</w:t>
            </w:r>
          </w:p>
        </w:tc>
        <w:tc>
          <w:tcPr>
            <w:tcW w:type="dxa" w:w="2340"/>
            <w:tcMar>
              <w:top w:w="80" w:type="dxa"/>
              <w:start w:w="120" w:type="dxa"/>
              <w:bottom w:w="80" w:type="dxa"/>
              <w:end w:w="120" w:type="dxa"/>
            </w:tcMar>
            <w:vAlign w:val="center"/>
            <w:shd w:fill="EDF9FC" w:val="clear"/>
          </w:tcPr>
          <w:p>
            <w:pPr>
              <w:spacing w:after="40"/>
              <w:jc w:val="center"/>
            </w:pPr>
            <w:r>
              <w:rPr>
                <w:rFonts w:ascii="Calibri" w:hAnsi="Calibri"/>
                <w:b/>
                <w:color w:val="1599B8"/>
                <w:sz w:val="24"/>
              </w:rPr>
              <w:t>3 SURFACES</w:t>
            </w:r>
          </w:p>
          <w:p>
            <w:pPr>
              <w:spacing w:before="0" w:after="0"/>
              <w:jc w:val="center"/>
            </w:pPr>
            <w:r>
              <w:rPr>
                <w:rFonts w:ascii="Calibri" w:hAnsi="Calibri"/>
                <w:color w:val="5F6D82"/>
                <w:sz w:val="16"/>
              </w:rPr>
              <w:t>brand, console, workspace</w:t>
            </w:r>
          </w:p>
        </w:tc>
        <w:tc>
          <w:tcPr>
            <w:tcW w:type="dxa" w:w="2340"/>
            <w:tcMar>
              <w:top w:w="80" w:type="dxa"/>
              <w:start w:w="120" w:type="dxa"/>
              <w:bottom w:w="80" w:type="dxa"/>
              <w:end w:w="120" w:type="dxa"/>
            </w:tcMar>
            <w:vAlign w:val="center"/>
            <w:shd w:fill="F2EFFF" w:val="clear"/>
          </w:tcPr>
          <w:p>
            <w:pPr>
              <w:spacing w:after="40"/>
              <w:jc w:val="center"/>
            </w:pPr>
            <w:r>
              <w:rPr>
                <w:rFonts w:ascii="Calibri" w:hAnsi="Calibri"/>
                <w:b/>
                <w:color w:val="7569D8"/>
                <w:sz w:val="24"/>
              </w:rPr>
              <w:t>2 PROMPTS</w:t>
            </w:r>
          </w:p>
          <w:p>
            <w:pPr>
              <w:spacing w:before="0" w:after="0"/>
              <w:jc w:val="center"/>
            </w:pPr>
            <w:r>
              <w:rPr>
                <w:rFonts w:ascii="Calibri" w:hAnsi="Calibri"/>
                <w:color w:val="5F6D82"/>
                <w:sz w:val="16"/>
              </w:rPr>
              <w:t>allow and block</w:t>
            </w:r>
          </w:p>
        </w:tc>
        <w:tc>
          <w:tcPr>
            <w:tcW w:type="dxa" w:w="2340"/>
            <w:tcMar>
              <w:top w:w="80" w:type="dxa"/>
              <w:start w:w="120" w:type="dxa"/>
              <w:bottom w:w="80" w:type="dxa"/>
              <w:end w:w="120" w:type="dxa"/>
            </w:tcMar>
            <w:vAlign w:val="center"/>
            <w:shd w:fill="F4F6F9" w:val="clear"/>
          </w:tcPr>
          <w:p>
            <w:pPr>
              <w:spacing w:after="40"/>
              <w:jc w:val="center"/>
            </w:pPr>
            <w:r>
              <w:rPr>
                <w:rFonts w:ascii="Calibri" w:hAnsi="Calibri"/>
                <w:b/>
                <w:color w:val="07101F"/>
                <w:sz w:val="24"/>
              </w:rPr>
              <w:t>1 CLOSED LOOP</w:t>
            </w:r>
          </w:p>
          <w:p>
            <w:pPr>
              <w:spacing w:before="0" w:after="0"/>
              <w:jc w:val="center"/>
            </w:pPr>
            <w:r>
              <w:rPr>
                <w:rFonts w:ascii="Calibri" w:hAnsi="Calibri"/>
                <w:color w:val="5F6D82"/>
                <w:sz w:val="16"/>
              </w:rPr>
              <w:t>evidence and incident</w:t>
            </w:r>
          </w:p>
        </w:tc>
      </w:tr>
    </w:tbl>
    <w:p>
      <w:pPr>
        <w:spacing w:after="0"/>
      </w:pPr>
    </w:p>
    <w:p>
      <w:pPr>
        <w:spacing w:before="80" w:after="280" w:line="288" w:lineRule="auto"/>
        <w:ind w:left="230" w:right="173"/>
        <w:shd w:fill="EAF2FF" w:val="clear"/>
        <w:pBdr>
          <w:left w:val="single" w:sz="20" w:space="7" w:color="356CFF"/>
        </w:pBdr>
      </w:pPr>
      <w:r>
        <w:rPr>
          <w:rFonts w:ascii="Calibri" w:hAnsi="Calibri"/>
          <w:b/>
          <w:color w:val="356CFF"/>
          <w:sz w:val="19"/>
        </w:rPr>
        <w:t xml:space="preserve">DEMO PROMISE  </w:t>
      </w:r>
      <w:r>
        <w:rPr>
          <w:rFonts w:ascii="Calibri" w:hAnsi="Calibri"/>
          <w:color w:val="17243A"/>
          <w:sz w:val="21"/>
        </w:rPr>
        <w:t>Show one useful request released, one unsafe request stopped, and the operational evidence generated around both.</w:t>
      </w:r>
    </w:p>
    <w:p>
      <w:pPr>
        <w:pStyle w:val="Heading1"/>
        <w:keepNext/>
      </w:pPr>
      <w:r>
        <w:rPr>
          <w:rFonts w:ascii="Calibri" w:hAnsi="Calibri"/>
          <w:b/>
          <w:color w:val="356CFF"/>
          <w:sz w:val="32"/>
        </w:rPr>
        <w:t>The proof story</w:t>
      </w:r>
    </w:p>
    <w:p>
      <w:pPr>
        <w:keepNext/>
        <w:spacing w:before="0" w:after="200"/>
      </w:pPr>
      <w:r>
        <w:rPr>
          <w:rFonts w:ascii="Calibri" w:hAnsi="Calibri"/>
          <w:i/>
          <w:color w:val="5F6D82"/>
          <w:sz w:val="21"/>
        </w:rPr>
        <w:t>Keep the narrative to one closed loop. Do not tour every feature.</w:t>
      </w:r>
    </w:p>
    <w:tbl>
      <w:tblPr>
        <w:tblW w:type="dxa" w:w="9360"/>
        <w:jc w:val="left"/>
        <w:tblLayout w:type="fixed"/>
        <w:tblLook w:firstColumn="1" w:firstRow="1" w:lastColumn="0" w:lastRow="0" w:noHBand="0" w:noVBand="1" w:val="04A0"/>
        <w:tblInd w:w="1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1872"/>
        <w:gridCol w:w="1872"/>
        <w:gridCol w:w="1872"/>
        <w:gridCol w:w="1872"/>
        <w:gridCol w:w="1872"/>
      </w:tblGrid>
      <w:tr>
        <w:trPr>
          <w:tblHeader w:val="true"/>
        </w:trPr>
        <w:tc>
          <w:tcPr>
            <w:tcW w:type="dxa" w:w="1872"/>
            <w:tcMar>
              <w:top w:w="80" w:type="dxa"/>
              <w:start w:w="120" w:type="dxa"/>
              <w:bottom w:w="80" w:type="dxa"/>
              <w:end w:w="120" w:type="dxa"/>
            </w:tcMar>
            <w:vAlign w:val="center"/>
            <w:shd w:fill="EAF2FF" w:val="clear"/>
          </w:tcPr>
          <w:p>
            <w:pPr>
              <w:spacing w:after="40"/>
              <w:jc w:val="center"/>
            </w:pPr>
            <w:r>
              <w:rPr>
                <w:rFonts w:ascii="Calibri" w:hAnsi="Calibri"/>
                <w:b/>
                <w:color w:val="356CFF"/>
                <w:sz w:val="16"/>
              </w:rPr>
              <w:t>01</w:t>
            </w:r>
          </w:p>
          <w:p>
            <w:pPr>
              <w:spacing w:before="0" w:after="40"/>
              <w:jc w:val="center"/>
            </w:pPr>
            <w:r>
              <w:rPr>
                <w:rFonts w:ascii="Calibri" w:hAnsi="Calibri"/>
                <w:b/>
                <w:color w:val="17243A"/>
                <w:sz w:val="18"/>
              </w:rPr>
              <w:t>FRAME</w:t>
            </w:r>
          </w:p>
          <w:p>
            <w:pPr>
              <w:spacing w:before="0" w:after="0"/>
              <w:jc w:val="center"/>
            </w:pPr>
            <w:r>
              <w:rPr>
                <w:rFonts w:ascii="Calibri" w:hAnsi="Calibri"/>
                <w:color w:val="5F6D82"/>
                <w:sz w:val="15"/>
              </w:rPr>
              <w:t>why runtime</w:t>
            </w:r>
          </w:p>
        </w:tc>
        <w:tc>
          <w:tcPr>
            <w:tcW w:type="dxa" w:w="1872"/>
            <w:tcMar>
              <w:top w:w="80" w:type="dxa"/>
              <w:start w:w="120" w:type="dxa"/>
              <w:bottom w:w="80" w:type="dxa"/>
              <w:end w:w="120" w:type="dxa"/>
            </w:tcMar>
            <w:vAlign w:val="center"/>
            <w:shd w:fill="EDF9FC" w:val="clear"/>
          </w:tcPr>
          <w:p>
            <w:pPr>
              <w:spacing w:after="40"/>
              <w:jc w:val="center"/>
            </w:pPr>
            <w:r>
              <w:rPr>
                <w:rFonts w:ascii="Calibri" w:hAnsi="Calibri"/>
                <w:b/>
                <w:color w:val="1599B8"/>
                <w:sz w:val="16"/>
              </w:rPr>
              <w:t>02</w:t>
            </w:r>
          </w:p>
          <w:p>
            <w:pPr>
              <w:spacing w:before="0" w:after="40"/>
              <w:jc w:val="center"/>
            </w:pPr>
            <w:r>
              <w:rPr>
                <w:rFonts w:ascii="Calibri" w:hAnsi="Calibri"/>
                <w:b/>
                <w:color w:val="17243A"/>
                <w:sz w:val="18"/>
              </w:rPr>
              <w:t>REGISTER</w:t>
            </w:r>
          </w:p>
          <w:p>
            <w:pPr>
              <w:spacing w:before="0" w:after="0"/>
              <w:jc w:val="center"/>
            </w:pPr>
            <w:r>
              <w:rPr>
                <w:rFonts w:ascii="Calibri" w:hAnsi="Calibri"/>
                <w:color w:val="5F6D82"/>
                <w:sz w:val="15"/>
              </w:rPr>
              <w:t>who owns it</w:t>
            </w:r>
          </w:p>
        </w:tc>
        <w:tc>
          <w:tcPr>
            <w:tcW w:type="dxa" w:w="1872"/>
            <w:tcMar>
              <w:top w:w="80" w:type="dxa"/>
              <w:start w:w="120" w:type="dxa"/>
              <w:bottom w:w="80" w:type="dxa"/>
              <w:end w:w="120" w:type="dxa"/>
            </w:tcMar>
            <w:vAlign w:val="center"/>
            <w:shd w:fill="F2EFFF" w:val="clear"/>
          </w:tcPr>
          <w:p>
            <w:pPr>
              <w:spacing w:after="40"/>
              <w:jc w:val="center"/>
            </w:pPr>
            <w:r>
              <w:rPr>
                <w:rFonts w:ascii="Calibri" w:hAnsi="Calibri"/>
                <w:b/>
                <w:color w:val="7569D8"/>
                <w:sz w:val="16"/>
              </w:rPr>
              <w:t>03</w:t>
            </w:r>
          </w:p>
          <w:p>
            <w:pPr>
              <w:spacing w:before="0" w:after="40"/>
              <w:jc w:val="center"/>
            </w:pPr>
            <w:r>
              <w:rPr>
                <w:rFonts w:ascii="Calibri" w:hAnsi="Calibri"/>
                <w:b/>
                <w:color w:val="17243A"/>
                <w:sz w:val="18"/>
              </w:rPr>
              <w:t>ENFORCE</w:t>
            </w:r>
          </w:p>
          <w:p>
            <w:pPr>
              <w:spacing w:before="0" w:after="0"/>
              <w:jc w:val="center"/>
            </w:pPr>
            <w:r>
              <w:rPr>
                <w:rFonts w:ascii="Calibri" w:hAnsi="Calibri"/>
                <w:color w:val="5F6D82"/>
                <w:sz w:val="15"/>
              </w:rPr>
              <w:t>allow vs block</w:t>
            </w:r>
          </w:p>
        </w:tc>
        <w:tc>
          <w:tcPr>
            <w:tcW w:type="dxa" w:w="1872"/>
            <w:tcMar>
              <w:top w:w="80" w:type="dxa"/>
              <w:start w:w="120" w:type="dxa"/>
              <w:bottom w:w="80" w:type="dxa"/>
              <w:end w:w="120" w:type="dxa"/>
            </w:tcMar>
            <w:vAlign w:val="center"/>
            <w:shd w:fill="F4F6F9" w:val="clear"/>
          </w:tcPr>
          <w:p>
            <w:pPr>
              <w:spacing w:after="40"/>
              <w:jc w:val="center"/>
            </w:pPr>
            <w:r>
              <w:rPr>
                <w:rFonts w:ascii="Calibri" w:hAnsi="Calibri"/>
                <w:b/>
                <w:color w:val="07101F"/>
                <w:sz w:val="16"/>
              </w:rPr>
              <w:t>04</w:t>
            </w:r>
          </w:p>
          <w:p>
            <w:pPr>
              <w:spacing w:before="0" w:after="40"/>
              <w:jc w:val="center"/>
            </w:pPr>
            <w:r>
              <w:rPr>
                <w:rFonts w:ascii="Calibri" w:hAnsi="Calibri"/>
                <w:b/>
                <w:color w:val="17243A"/>
                <w:sz w:val="18"/>
              </w:rPr>
              <w:t>PROVE</w:t>
            </w:r>
          </w:p>
          <w:p>
            <w:pPr>
              <w:spacing w:before="0" w:after="0"/>
              <w:jc w:val="center"/>
            </w:pPr>
            <w:r>
              <w:rPr>
                <w:rFonts w:ascii="Calibri" w:hAnsi="Calibri"/>
                <w:color w:val="5F6D82"/>
                <w:sz w:val="15"/>
              </w:rPr>
              <w:t>incident + trace</w:t>
            </w:r>
          </w:p>
        </w:tc>
        <w:tc>
          <w:tcPr>
            <w:tcW w:type="dxa" w:w="1872"/>
            <w:tcMar>
              <w:top w:w="80" w:type="dxa"/>
              <w:start w:w="120" w:type="dxa"/>
              <w:bottom w:w="80" w:type="dxa"/>
              <w:end w:w="120" w:type="dxa"/>
            </w:tcMar>
            <w:vAlign w:val="center"/>
            <w:shd w:fill="FFF7DF" w:val="clear"/>
          </w:tcPr>
          <w:p>
            <w:pPr>
              <w:spacing w:after="40"/>
              <w:jc w:val="center"/>
            </w:pPr>
            <w:r>
              <w:rPr>
                <w:rFonts w:ascii="Calibri" w:hAnsi="Calibri"/>
                <w:b/>
                <w:color w:val="8A6400"/>
                <w:sz w:val="16"/>
              </w:rPr>
              <w:t>05</w:t>
            </w:r>
          </w:p>
          <w:p>
            <w:pPr>
              <w:spacing w:before="0" w:after="40"/>
              <w:jc w:val="center"/>
            </w:pPr>
            <w:r>
              <w:rPr>
                <w:rFonts w:ascii="Calibri" w:hAnsi="Calibri"/>
                <w:b/>
                <w:color w:val="17243A"/>
                <w:sz w:val="18"/>
              </w:rPr>
              <w:t>ASK</w:t>
            </w:r>
          </w:p>
          <w:p>
            <w:pPr>
              <w:spacing w:before="0" w:after="0"/>
              <w:jc w:val="center"/>
            </w:pPr>
            <w:r>
              <w:rPr>
                <w:rFonts w:ascii="Calibri" w:hAnsi="Calibri"/>
                <w:color w:val="5F6D82"/>
                <w:sz w:val="15"/>
              </w:rPr>
              <w:t>pilot next step</w:t>
            </w:r>
          </w:p>
        </w:tc>
      </w:tr>
    </w:tbl>
    <w:p>
      <w:pPr>
        <w:spacing w:after="0"/>
      </w:pPr>
    </w:p>
    <w:p>
      <w:pPr>
        <w:numPr>
          <w:ilvl w:val="0"/>
          <w:numId w:val="1"/>
        </w:numPr>
        <w:spacing w:before="0" w:after="80" w:line="300" w:lineRule="auto"/>
      </w:pPr>
      <w:r>
        <w:rPr>
          <w:rFonts w:ascii="Calibri" w:hAnsi="Calibri"/>
          <w:color w:val="17243A"/>
        </w:rPr>
        <w:t>Open with the hosted welcome page and define the category in under one minute.</w:t>
      </w:r>
    </w:p>
    <w:p>
      <w:pPr>
        <w:numPr>
          <w:ilvl w:val="0"/>
          <w:numId w:val="1"/>
        </w:numPr>
        <w:spacing w:before="0" w:after="80" w:line="300" w:lineRule="auto"/>
      </w:pPr>
      <w:r>
        <w:rPr>
          <w:rFonts w:ascii="Calibri" w:hAnsi="Calibri"/>
          <w:color w:val="17243A"/>
        </w:rPr>
        <w:t>Use deterministic offline mode for the live allow/block proof; it removes external dependencies.</w:t>
      </w:r>
    </w:p>
    <w:p>
      <w:pPr>
        <w:numPr>
          <w:ilvl w:val="0"/>
          <w:numId w:val="1"/>
        </w:numPr>
        <w:spacing w:before="0" w:after="80" w:line="300" w:lineRule="auto"/>
      </w:pPr>
      <w:r>
        <w:rPr>
          <w:rFonts w:ascii="Calibri" w:hAnsi="Calibri"/>
          <w:color w:val="17243A"/>
        </w:rPr>
        <w:t>Close on ACTURUS, the three outcomes, and one specific next step.</w:t>
      </w:r>
    </w:p>
    <w:p>
      <w:pPr>
        <w:spacing w:before="80" w:after="160" w:line="288" w:lineRule="auto"/>
        <w:ind w:left="230" w:right="173"/>
        <w:shd w:fill="EDF9FC" w:val="clear"/>
        <w:pBdr>
          <w:left w:val="single" w:sz="20" w:space="7" w:color="1599B8"/>
        </w:pBdr>
      </w:pPr>
      <w:r>
        <w:rPr>
          <w:rFonts w:ascii="Calibri" w:hAnsi="Calibri"/>
          <w:b/>
          <w:color w:val="1599B8"/>
          <w:sz w:val="19"/>
        </w:rPr>
        <w:t xml:space="preserve">CORE LINE  </w:t>
      </w:r>
      <w:r>
        <w:rPr>
          <w:rFonts w:ascii="Calibri" w:hAnsi="Calibri"/>
          <w:color w:val="17243A"/>
          <w:sz w:val="21"/>
        </w:rPr>
        <w:t>AI governance must become an operating control, not remain a spreadsheet exercise.</w:t>
      </w:r>
    </w:p>
    <w:p>
      <w:pPr>
        <w:pageBreakBefore/>
        <w:spacing w:before="0" w:after="0" w:line="20" w:lineRule="exact"/>
      </w:pPr>
      <w:r>
        <w:rPr>
          <w:rFonts w:ascii="Calibri" w:hAnsi="Calibri"/>
          <w:color w:val="FFFFFF"/>
          <w:sz w:val="2"/>
        </w:rPr>
        <w:t xml:space="preserve"> </w:t>
      </w:r>
    </w:p>
    <w:p>
      <w:pPr>
        <w:pStyle w:val="Heading1"/>
        <w:keepNext/>
      </w:pPr>
      <w:r>
        <w:rPr>
          <w:rFonts w:ascii="Calibri" w:hAnsi="Calibri"/>
          <w:b/>
          <w:color w:val="356CFF"/>
          <w:sz w:val="32"/>
        </w:rPr>
        <w:t>Before the room</w:t>
      </w:r>
    </w:p>
    <w:p>
      <w:pPr>
        <w:keepNext/>
        <w:spacing w:before="0" w:after="200"/>
      </w:pPr>
      <w:r>
        <w:rPr>
          <w:rFonts w:ascii="Calibri" w:hAnsi="Calibri"/>
          <w:i/>
          <w:color w:val="5F6D82"/>
          <w:sz w:val="21"/>
        </w:rPr>
        <w:t>Recommended mode: hosted brand opening + deterministic offline product proof</w:t>
      </w:r>
    </w:p>
    <w:p>
      <w:pPr>
        <w:spacing w:before="80" w:after="160" w:line="288" w:lineRule="auto"/>
        <w:ind w:left="230" w:right="173"/>
        <w:shd w:fill="EAF7F3" w:val="clear"/>
        <w:pBdr>
          <w:left w:val="single" w:sz="20" w:space="7" w:color="177A65"/>
        </w:pBdr>
      </w:pPr>
      <w:r>
        <w:rPr>
          <w:rFonts w:ascii="Calibri" w:hAnsi="Calibri"/>
          <w:b/>
          <w:color w:val="177A65"/>
          <w:sz w:val="19"/>
        </w:rPr>
        <w:t xml:space="preserve">WHY THIS MODE  </w:t>
      </w:r>
      <w:r>
        <w:rPr>
          <w:rFonts w:ascii="Calibri" w:hAnsi="Calibri"/>
          <w:color w:val="17243A"/>
          <w:sz w:val="21"/>
        </w:rPr>
        <w:t>The hosted pages make the opening premium. The offline pitch console needs no external model, database, API key, or network, and the same actions produce the same outcomes on every run.</w:t>
      </w:r>
    </w:p>
    <w:p>
      <w:pPr>
        <w:pStyle w:val="Heading2"/>
      </w:pPr>
      <w:r>
        <w:t>Launch and verify from the repository root</w:t>
      </w:r>
    </w:p>
    <w:p>
      <w:pPr>
        <w:keepLines/>
        <w:spacing w:before="60" w:after="160" w:line="276" w:lineRule="auto"/>
        <w:ind w:left="230" w:right="173"/>
        <w:shd w:fill="07101F" w:val="clear"/>
      </w:pPr>
      <w:r>
        <w:rPr>
          <w:rFonts w:ascii="Consolas" w:hAnsi="Consolas"/>
          <w:color w:val="FFFFFF"/>
          <w:sz w:val="18"/>
        </w:rPr>
        <w:t>npm install              # first time only</w:t>
        <w:br/>
        <w:t>npm run check</w:t>
        <w:br/>
        <w:t>npm run demo:pitch</w:t>
        <w:br/>
        <w:br/>
        <w:t># In a second PowerShell window</w:t>
        <w:br/>
        <w:t>(Invoke-WebRequest -UseBasicParsing http://127.0.0.1:18080/control-grid).StatusCode</w:t>
        <w:br/>
        <w:t># Expected result: 200</w:t>
      </w:r>
    </w:p>
    <w:p>
      <w:pPr>
        <w:spacing w:before="80" w:after="160" w:line="288" w:lineRule="auto"/>
        <w:ind w:left="230" w:right="173"/>
        <w:shd w:fill="FFF7DF" w:val="clear"/>
        <w:pBdr>
          <w:left w:val="single" w:sz="20" w:space="7" w:color="8A6400"/>
        </w:pBdr>
      </w:pPr>
      <w:r>
        <w:rPr>
          <w:rFonts w:ascii="Calibri" w:hAnsi="Calibri"/>
          <w:b/>
          <w:color w:val="8A6400"/>
          <w:sz w:val="19"/>
        </w:rPr>
        <w:t xml:space="preserve">WORKSPACE SIGN-IN  </w:t>
      </w:r>
      <w:r>
        <w:rPr>
          <w:rFonts w:ascii="Calibri" w:hAnsi="Calibri"/>
          <w:color w:val="17243A"/>
          <w:sz w:val="21"/>
        </w:rPr>
        <w:t>Use the synthetic identity mia.foster@northstarbank.example with the shared demo password Northstar!Assist24. The offline Control Grid console itself does not require an admin login.</w:t>
      </w:r>
    </w:p>
    <w:p>
      <w:pPr>
        <w:pStyle w:val="Heading2"/>
      </w:pPr>
      <w:r>
        <w:t>Arrange these tabs from left to right</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600"/>
        <w:gridCol w:w="1600"/>
        <w:gridCol w:w="4300"/>
        <w:gridCol w:w="2860"/>
      </w:tblGrid>
      <w:tr>
        <w:trPr>
          <w:tblHeader w:val="true"/>
        </w:trPr>
        <w:tc>
          <w:tcPr>
            <w:tcW w:type="dxa" w:w="600"/>
            <w:tcMar>
              <w:top w:w="80" w:type="dxa"/>
              <w:start w:w="120" w:type="dxa"/>
              <w:bottom w:w="80" w:type="dxa"/>
              <w:end w:w="120" w:type="dxa"/>
            </w:tcMar>
            <w:vAlign w:val="center"/>
            <w:shd w:fill="07101F" w:val="clear"/>
          </w:tcPr>
          <w:p>
            <w:pPr>
              <w:spacing w:before="0" w:after="0" w:line="276" w:lineRule="auto"/>
              <w:jc w:val="center"/>
            </w:pPr>
            <w:r>
              <w:rPr>
                <w:rFonts w:ascii="Calibri" w:hAnsi="Calibri"/>
                <w:b/>
                <w:color w:val="FFFFFF"/>
                <w:sz w:val="17"/>
              </w:rPr>
              <w:t>#</w:t>
            </w:r>
          </w:p>
        </w:tc>
        <w:tc>
          <w:tcPr>
            <w:tcW w:type="dxa" w:w="16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TAB</w:t>
            </w:r>
          </w:p>
        </w:tc>
        <w:tc>
          <w:tcPr>
            <w:tcW w:type="dxa" w:w="43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URL</w:t>
            </w:r>
          </w:p>
        </w:tc>
        <w:tc>
          <w:tcPr>
            <w:tcW w:type="dxa" w:w="28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PURPOSE</w:t>
            </w:r>
          </w:p>
        </w:tc>
      </w:tr>
      <w:tr>
        <w:trPr>
          <w:cantSplit/>
        </w:trPr>
        <w:tc>
          <w:tcPr>
            <w:tcW w:type="dxa" w:w="600"/>
          </w:tcPr>
          <w:p>
            <w:pPr>
              <w:spacing w:before="0" w:after="0" w:line="276" w:lineRule="auto"/>
              <w:jc w:val="center"/>
            </w:pPr>
            <w:r>
              <w:rPr>
                <w:rFonts w:ascii="Calibri" w:hAnsi="Calibri"/>
                <w:b w:val="0"/>
                <w:color w:val="17243A"/>
                <w:sz w:val="18"/>
              </w:rPr>
              <w:t>1</w:t>
            </w:r>
          </w:p>
        </w:tc>
        <w:tc>
          <w:tcPr>
            <w:tcW w:type="dxa" w:w="1600"/>
          </w:tcPr>
          <w:p>
            <w:pPr>
              <w:spacing w:before="0" w:after="0" w:line="276" w:lineRule="auto"/>
              <w:jc w:val="left"/>
            </w:pPr>
            <w:r>
              <w:rPr>
                <w:rFonts w:ascii="Calibri" w:hAnsi="Calibri"/>
                <w:b w:val="0"/>
                <w:color w:val="17243A"/>
                <w:sz w:val="18"/>
              </w:rPr>
              <w:t>Welcome</w:t>
            </w:r>
          </w:p>
        </w:tc>
        <w:tc>
          <w:tcPr>
            <w:tcW w:type="dxa" w:w="4300"/>
          </w:tcPr>
          <w:p>
            <w:pPr>
              <w:spacing w:before="0" w:after="0" w:line="276" w:lineRule="auto"/>
              <w:jc w:val="left"/>
            </w:pPr>
            <w:r>
              <w:rPr>
                <w:rFonts w:ascii="Calibri" w:hAnsi="Calibri"/>
                <w:b w:val="0"/>
                <w:color w:val="17243A"/>
                <w:sz w:val="17"/>
              </w:rPr>
              <w:t>https://ai-control-tower-d9854.web.app/welcome</w:t>
            </w:r>
          </w:p>
        </w:tc>
        <w:tc>
          <w:tcPr>
            <w:tcW w:type="dxa" w:w="2860"/>
          </w:tcPr>
          <w:p>
            <w:pPr>
              <w:spacing w:before="0" w:after="0" w:line="276" w:lineRule="auto"/>
              <w:jc w:val="left"/>
            </w:pPr>
            <w:r>
              <w:rPr>
                <w:rFonts w:ascii="Calibri" w:hAnsi="Calibri"/>
                <w:b w:val="0"/>
                <w:color w:val="17243A"/>
                <w:sz w:val="18"/>
              </w:rPr>
              <w:t>Open with the category and product promise.</w:t>
            </w:r>
          </w:p>
        </w:tc>
      </w:tr>
      <w:tr>
        <w:trPr>
          <w:cantSplit/>
        </w:trPr>
        <w:tc>
          <w:tcPr>
            <w:tcW w:type="dxa" w:w="600"/>
            <w:shd w:fill="F4F6F9" w:val="clear"/>
          </w:tcPr>
          <w:p>
            <w:pPr>
              <w:spacing w:before="0" w:after="0" w:line="276" w:lineRule="auto"/>
              <w:jc w:val="center"/>
            </w:pPr>
            <w:r>
              <w:rPr>
                <w:rFonts w:ascii="Calibri" w:hAnsi="Calibri"/>
                <w:b w:val="0"/>
                <w:color w:val="17243A"/>
                <w:sz w:val="18"/>
              </w:rPr>
              <w:t>2</w:t>
            </w:r>
          </w:p>
        </w:tc>
        <w:tc>
          <w:tcPr>
            <w:tcW w:type="dxa" w:w="1600"/>
            <w:shd w:fill="F4F6F9" w:val="clear"/>
          </w:tcPr>
          <w:p>
            <w:pPr>
              <w:spacing w:before="0" w:after="0" w:line="276" w:lineRule="auto"/>
              <w:jc w:val="left"/>
            </w:pPr>
            <w:r>
              <w:rPr>
                <w:rFonts w:ascii="Calibri" w:hAnsi="Calibri"/>
                <w:b w:val="0"/>
                <w:color w:val="17243A"/>
                <w:sz w:val="18"/>
              </w:rPr>
              <w:t>Control Grid</w:t>
            </w:r>
          </w:p>
        </w:tc>
        <w:tc>
          <w:tcPr>
            <w:tcW w:type="dxa" w:w="4300"/>
            <w:shd w:fill="F4F6F9" w:val="clear"/>
          </w:tcPr>
          <w:p>
            <w:pPr>
              <w:spacing w:before="0" w:after="0" w:line="276" w:lineRule="auto"/>
              <w:jc w:val="left"/>
            </w:pPr>
            <w:r>
              <w:rPr>
                <w:rFonts w:ascii="Calibri" w:hAnsi="Calibri"/>
                <w:b w:val="0"/>
                <w:color w:val="17243A"/>
                <w:sz w:val="17"/>
              </w:rPr>
              <w:t>http://127.0.0.1:18080/control-grid</w:t>
            </w:r>
          </w:p>
        </w:tc>
        <w:tc>
          <w:tcPr>
            <w:tcW w:type="dxa" w:w="2860"/>
            <w:shd w:fill="F4F6F9" w:val="clear"/>
          </w:tcPr>
          <w:p>
            <w:pPr>
              <w:spacing w:before="0" w:after="0" w:line="276" w:lineRule="auto"/>
              <w:jc w:val="left"/>
            </w:pPr>
            <w:r>
              <w:rPr>
                <w:rFonts w:ascii="Calibri" w:hAnsi="Calibri"/>
                <w:b w:val="0"/>
                <w:color w:val="17243A"/>
                <w:sz w:val="18"/>
              </w:rPr>
              <w:t>Use the left navigation for Registry, Runtime, Incidents, and Decision Trace.</w:t>
            </w:r>
          </w:p>
        </w:tc>
      </w:tr>
      <w:tr>
        <w:trPr>
          <w:cantSplit/>
        </w:trPr>
        <w:tc>
          <w:tcPr>
            <w:tcW w:type="dxa" w:w="600"/>
          </w:tcPr>
          <w:p>
            <w:pPr>
              <w:spacing w:before="0" w:after="0" w:line="276" w:lineRule="auto"/>
              <w:jc w:val="center"/>
            </w:pPr>
            <w:r>
              <w:rPr>
                <w:rFonts w:ascii="Calibri" w:hAnsi="Calibri"/>
                <w:b w:val="0"/>
                <w:color w:val="17243A"/>
                <w:sz w:val="18"/>
              </w:rPr>
              <w:t>3</w:t>
            </w:r>
          </w:p>
        </w:tc>
        <w:tc>
          <w:tcPr>
            <w:tcW w:type="dxa" w:w="1600"/>
          </w:tcPr>
          <w:p>
            <w:pPr>
              <w:spacing w:before="0" w:after="0" w:line="276" w:lineRule="auto"/>
              <w:jc w:val="left"/>
            </w:pPr>
            <w:r>
              <w:rPr>
                <w:rFonts w:ascii="Calibri" w:hAnsi="Calibri"/>
                <w:b w:val="0"/>
                <w:color w:val="17243A"/>
                <w:sz w:val="18"/>
              </w:rPr>
              <w:t>Frontline workspace</w:t>
            </w:r>
          </w:p>
        </w:tc>
        <w:tc>
          <w:tcPr>
            <w:tcW w:type="dxa" w:w="4300"/>
          </w:tcPr>
          <w:p>
            <w:pPr>
              <w:spacing w:before="0" w:after="0" w:line="276" w:lineRule="auto"/>
              <w:jc w:val="left"/>
            </w:pPr>
            <w:r>
              <w:rPr>
                <w:rFonts w:ascii="Calibri" w:hAnsi="Calibri"/>
                <w:b w:val="0"/>
                <w:color w:val="17243A"/>
                <w:sz w:val="17"/>
              </w:rPr>
              <w:t>http://127.0.0.1:18080/</w:t>
            </w:r>
          </w:p>
        </w:tc>
        <w:tc>
          <w:tcPr>
            <w:tcW w:type="dxa" w:w="2860"/>
          </w:tcPr>
          <w:p>
            <w:pPr>
              <w:spacing w:before="0" w:after="0" w:line="276" w:lineRule="auto"/>
              <w:jc w:val="left"/>
            </w:pPr>
            <w:r>
              <w:rPr>
                <w:rFonts w:ascii="Calibri" w:hAnsi="Calibri"/>
                <w:b w:val="0"/>
                <w:color w:val="17243A"/>
                <w:sz w:val="18"/>
              </w:rPr>
              <w:t>Run the safe and blocked requests.</w:t>
            </w:r>
          </w:p>
        </w:tc>
      </w:tr>
      <w:tr>
        <w:trPr>
          <w:cantSplit/>
        </w:trPr>
        <w:tc>
          <w:tcPr>
            <w:tcW w:type="dxa" w:w="600"/>
            <w:shd w:fill="F4F6F9" w:val="clear"/>
          </w:tcPr>
          <w:p>
            <w:pPr>
              <w:spacing w:before="0" w:after="0" w:line="276" w:lineRule="auto"/>
              <w:jc w:val="center"/>
            </w:pPr>
            <w:r>
              <w:rPr>
                <w:rFonts w:ascii="Calibri" w:hAnsi="Calibri"/>
                <w:b w:val="0"/>
                <w:color w:val="17243A"/>
                <w:sz w:val="18"/>
              </w:rPr>
              <w:t>4</w:t>
            </w:r>
          </w:p>
        </w:tc>
        <w:tc>
          <w:tcPr>
            <w:tcW w:type="dxa" w:w="1600"/>
            <w:shd w:fill="F4F6F9" w:val="clear"/>
          </w:tcPr>
          <w:p>
            <w:pPr>
              <w:spacing w:before="0" w:after="0" w:line="276" w:lineRule="auto"/>
              <w:jc w:val="left"/>
            </w:pPr>
            <w:r>
              <w:rPr>
                <w:rFonts w:ascii="Calibri" w:hAnsi="Calibri"/>
                <w:b w:val="0"/>
                <w:color w:val="17243A"/>
                <w:sz w:val="18"/>
              </w:rPr>
              <w:t>ACTURUS</w:t>
            </w:r>
          </w:p>
        </w:tc>
        <w:tc>
          <w:tcPr>
            <w:tcW w:type="dxa" w:w="4300"/>
            <w:shd w:fill="F4F6F9" w:val="clear"/>
          </w:tcPr>
          <w:p>
            <w:pPr>
              <w:spacing w:before="0" w:after="0" w:line="276" w:lineRule="auto"/>
              <w:jc w:val="left"/>
            </w:pPr>
            <w:r>
              <w:rPr>
                <w:rFonts w:ascii="Calibri" w:hAnsi="Calibri"/>
                <w:b w:val="0"/>
                <w:color w:val="17243A"/>
                <w:sz w:val="17"/>
              </w:rPr>
              <w:t>https://ai-control-tower-d9854.web.app/acturus</w:t>
            </w:r>
          </w:p>
        </w:tc>
        <w:tc>
          <w:tcPr>
            <w:tcW w:type="dxa" w:w="2860"/>
            <w:shd w:fill="F4F6F9" w:val="clear"/>
          </w:tcPr>
          <w:p>
            <w:pPr>
              <w:spacing w:before="0" w:after="0" w:line="276" w:lineRule="auto"/>
              <w:jc w:val="left"/>
            </w:pPr>
            <w:r>
              <w:rPr>
                <w:rFonts w:ascii="Calibri" w:hAnsi="Calibri"/>
                <w:b w:val="0"/>
                <w:color w:val="17243A"/>
                <w:sz w:val="18"/>
              </w:rPr>
              <w:t>Close on company purpose and the next conversation.</w:t>
            </w:r>
          </w:p>
        </w:tc>
      </w:tr>
    </w:tbl>
    <w:p>
      <w:pPr>
        <w:pStyle w:val="Heading2"/>
      </w:pPr>
      <w:r>
        <w:t>Go / no-go checklist</w:t>
      </w:r>
    </w:p>
    <w:p>
      <w:pPr>
        <w:numPr>
          <w:ilvl w:val="0"/>
          <w:numId w:val="1"/>
        </w:numPr>
        <w:spacing w:before="0" w:after="80" w:line="300" w:lineRule="auto"/>
      </w:pPr>
      <w:r>
        <w:rPr>
          <w:rFonts w:ascii="Calibri" w:hAnsi="Calibri"/>
          <w:color w:val="17243A"/>
        </w:rPr>
        <w:t>Run the safe and blocked prompts once during rehearsal.</w:t>
      </w:r>
    </w:p>
    <w:p>
      <w:pPr>
        <w:numPr>
          <w:ilvl w:val="0"/>
          <w:numId w:val="1"/>
        </w:numPr>
        <w:spacing w:before="0" w:after="80" w:line="300" w:lineRule="auto"/>
      </w:pPr>
      <w:r>
        <w:rPr>
          <w:rFonts w:ascii="Calibri" w:hAnsi="Calibri"/>
          <w:color w:val="17243A"/>
        </w:rPr>
        <w:t>Verify the new allowed and blocked events appear in Runtime Monitoring.</w:t>
      </w:r>
    </w:p>
    <w:p>
      <w:pPr>
        <w:numPr>
          <w:ilvl w:val="0"/>
          <w:numId w:val="1"/>
        </w:numPr>
        <w:spacing w:before="0" w:after="80" w:line="300" w:lineRule="auto"/>
      </w:pPr>
      <w:r>
        <w:rPr>
          <w:rFonts w:ascii="Calibri" w:hAnsi="Calibri"/>
          <w:color w:val="17243A"/>
        </w:rPr>
        <w:t>Verify the blocked request creates an incident and decision trace.</w:t>
      </w:r>
    </w:p>
    <w:p>
      <w:pPr>
        <w:numPr>
          <w:ilvl w:val="0"/>
          <w:numId w:val="1"/>
        </w:numPr>
        <w:spacing w:before="0" w:after="80" w:line="300" w:lineRule="auto"/>
      </w:pPr>
      <w:r>
        <w:rPr>
          <w:rFonts w:ascii="Calibri" w:hAnsi="Calibri"/>
          <w:color w:val="17243A"/>
        </w:rPr>
        <w:t>Press Ctrl+C, rerun npm run demo:pitch, and return every tab to its starting page.</w:t>
      </w:r>
    </w:p>
    <w:p>
      <w:pPr>
        <w:numPr>
          <w:ilvl w:val="0"/>
          <w:numId w:val="1"/>
        </w:numPr>
        <w:spacing w:before="0" w:after="80" w:line="300" w:lineRule="auto"/>
      </w:pPr>
      <w:r>
        <w:rPr>
          <w:rFonts w:ascii="Calibri" w:hAnsi="Calibri"/>
          <w:color w:val="17243A"/>
        </w:rPr>
        <w:t>Set browser zoom to 100%, silence notifications, connect power, and close unrelated tabs.</w:t>
      </w:r>
    </w:p>
    <w:p>
      <w:pPr>
        <w:numPr>
          <w:ilvl w:val="0"/>
          <w:numId w:val="1"/>
        </w:numPr>
        <w:spacing w:before="0" w:after="80" w:line="300" w:lineRule="auto"/>
      </w:pPr>
      <w:r>
        <w:rPr>
          <w:rFonts w:ascii="Calibri" w:hAnsi="Calibri"/>
          <w:color w:val="17243A"/>
        </w:rPr>
        <w:t>Say 'synthetic data' before showing any organization, person, score, event, or incident.</w:t>
      </w:r>
    </w:p>
    <w:p>
      <w:pPr>
        <w:pageBreakBefore/>
        <w:spacing w:before="0" w:after="0" w:line="20" w:lineRule="exact"/>
      </w:pPr>
      <w:r>
        <w:rPr>
          <w:rFonts w:ascii="Calibri" w:hAnsi="Calibri"/>
          <w:color w:val="FFFFFF"/>
          <w:sz w:val="2"/>
        </w:rPr>
        <w:t xml:space="preserve"> </w:t>
      </w:r>
    </w:p>
    <w:p>
      <w:pPr>
        <w:pStyle w:val="Heading1"/>
        <w:keepNext/>
      </w:pPr>
      <w:r>
        <w:rPr>
          <w:rFonts w:ascii="Calibri" w:hAnsi="Calibri"/>
          <w:b/>
          <w:color w:val="356CFF"/>
          <w:sz w:val="32"/>
        </w:rPr>
        <w:t>The 15-minute run of show</w:t>
      </w:r>
    </w:p>
    <w:p>
      <w:pPr>
        <w:keepNext/>
        <w:spacing w:before="0" w:after="200"/>
      </w:pPr>
      <w:r>
        <w:rPr>
          <w:rFonts w:ascii="Calibri" w:hAnsi="Calibri"/>
          <w:i/>
          <w:color w:val="5F6D82"/>
          <w:sz w:val="21"/>
        </w:rPr>
        <w:t>Narrate the reason for each click before clicking.</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900"/>
        <w:gridCol w:w="1700"/>
        <w:gridCol w:w="2500"/>
        <w:gridCol w:w="4260"/>
      </w:tblGrid>
      <w:tr>
        <w:trPr>
          <w:tblHeader w:val="true"/>
        </w:trPr>
        <w:tc>
          <w:tcPr>
            <w:tcW w:type="dxa" w:w="9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TIME</w:t>
            </w:r>
          </w:p>
        </w:tc>
        <w:tc>
          <w:tcPr>
            <w:tcW w:type="dxa" w:w="17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SCREEN</w:t>
            </w:r>
          </w:p>
        </w:tc>
        <w:tc>
          <w:tcPr>
            <w:tcW w:type="dxa" w:w="25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DO</w:t>
            </w:r>
          </w:p>
        </w:tc>
        <w:tc>
          <w:tcPr>
            <w:tcW w:type="dxa" w:w="42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SAY / PROVE</w:t>
            </w:r>
          </w:p>
        </w:tc>
      </w:tr>
      <w:tr>
        <w:trPr>
          <w:cantSplit/>
        </w:trPr>
        <w:tc>
          <w:tcPr>
            <w:tcW w:type="dxa" w:w="900"/>
          </w:tcPr>
          <w:p>
            <w:pPr>
              <w:spacing w:before="0" w:after="0" w:line="276" w:lineRule="auto"/>
              <w:jc w:val="left"/>
            </w:pPr>
            <w:r>
              <w:rPr>
                <w:rFonts w:ascii="Calibri" w:hAnsi="Calibri"/>
                <w:b/>
                <w:color w:val="17243A"/>
                <w:sz w:val="17"/>
              </w:rPr>
              <w:t>0:00-1:10</w:t>
            </w:r>
          </w:p>
        </w:tc>
        <w:tc>
          <w:tcPr>
            <w:tcW w:type="dxa" w:w="1700"/>
          </w:tcPr>
          <w:p>
            <w:pPr>
              <w:spacing w:before="0" w:after="0" w:line="276" w:lineRule="auto"/>
              <w:jc w:val="left"/>
            </w:pPr>
            <w:r>
              <w:rPr>
                <w:rFonts w:ascii="Calibri" w:hAnsi="Calibri"/>
                <w:b w:val="0"/>
                <w:color w:val="17243A"/>
                <w:sz w:val="17"/>
              </w:rPr>
              <w:t>Welcome</w:t>
            </w:r>
          </w:p>
        </w:tc>
        <w:tc>
          <w:tcPr>
            <w:tcW w:type="dxa" w:w="2500"/>
          </w:tcPr>
          <w:p>
            <w:pPr>
              <w:spacing w:before="0" w:after="0" w:line="276" w:lineRule="auto"/>
              <w:jc w:val="left"/>
            </w:pPr>
            <w:r>
              <w:rPr>
                <w:rFonts w:ascii="Calibri" w:hAnsi="Calibri"/>
                <w:b w:val="0"/>
                <w:color w:val="17243A"/>
                <w:sz w:val="17"/>
              </w:rPr>
              <w:t>Frame the problem; disclose synthetic, deterministic data.</w:t>
            </w:r>
          </w:p>
        </w:tc>
        <w:tc>
          <w:tcPr>
            <w:tcW w:type="dxa" w:w="4260"/>
          </w:tcPr>
          <w:p>
            <w:pPr>
              <w:spacing w:before="0" w:after="0" w:line="276" w:lineRule="auto"/>
              <w:jc w:val="left"/>
            </w:pPr>
            <w:r>
              <w:rPr>
                <w:rFonts w:ascii="Calibri" w:hAnsi="Calibri"/>
                <w:b w:val="0"/>
                <w:color w:val="17243A"/>
                <w:sz w:val="17"/>
              </w:rPr>
              <w:t>One useful request will be released, one risky request stopped, and both evidence trails shown.</w:t>
            </w:r>
          </w:p>
        </w:tc>
      </w:tr>
      <w:tr>
        <w:trPr>
          <w:cantSplit/>
        </w:trPr>
        <w:tc>
          <w:tcPr>
            <w:tcW w:type="dxa" w:w="900"/>
            <w:shd w:fill="F4F6F9" w:val="clear"/>
          </w:tcPr>
          <w:p>
            <w:pPr>
              <w:spacing w:before="0" w:after="0" w:line="276" w:lineRule="auto"/>
              <w:jc w:val="left"/>
            </w:pPr>
            <w:r>
              <w:rPr>
                <w:rFonts w:ascii="Calibri" w:hAnsi="Calibri"/>
                <w:b/>
                <w:color w:val="17243A"/>
                <w:sz w:val="17"/>
              </w:rPr>
              <w:t>1:10-2:20</w:t>
            </w:r>
          </w:p>
        </w:tc>
        <w:tc>
          <w:tcPr>
            <w:tcW w:type="dxa" w:w="1700"/>
            <w:shd w:fill="F4F6F9" w:val="clear"/>
          </w:tcPr>
          <w:p>
            <w:pPr>
              <w:spacing w:before="0" w:after="0" w:line="276" w:lineRule="auto"/>
              <w:jc w:val="left"/>
            </w:pPr>
            <w:r>
              <w:rPr>
                <w:rFonts w:ascii="Calibri" w:hAnsi="Calibri"/>
                <w:b w:val="0"/>
                <w:color w:val="17243A"/>
                <w:sz w:val="17"/>
              </w:rPr>
              <w:t>Command center</w:t>
            </w:r>
          </w:p>
        </w:tc>
        <w:tc>
          <w:tcPr>
            <w:tcW w:type="dxa" w:w="2500"/>
            <w:shd w:fill="F4F6F9" w:val="clear"/>
          </w:tcPr>
          <w:p>
            <w:pPr>
              <w:spacing w:before="0" w:after="0" w:line="276" w:lineRule="auto"/>
              <w:jc w:val="left"/>
            </w:pPr>
            <w:r>
              <w:rPr>
                <w:rFonts w:ascii="Calibri" w:hAnsi="Calibri"/>
                <w:b w:val="0"/>
                <w:color w:val="17243A"/>
                <w:sz w:val="17"/>
              </w:rPr>
              <w:t>Point to portfolio posture and live activity. Do not tour every KPI.</w:t>
            </w:r>
          </w:p>
        </w:tc>
        <w:tc>
          <w:tcPr>
            <w:tcW w:type="dxa" w:w="4260"/>
            <w:shd w:fill="F4F6F9" w:val="clear"/>
          </w:tcPr>
          <w:p>
            <w:pPr>
              <w:spacing w:before="0" w:after="0" w:line="276" w:lineRule="auto"/>
              <w:jc w:val="left"/>
            </w:pPr>
            <w:r>
              <w:rPr>
                <w:rFonts w:ascii="Calibri" w:hAnsi="Calibri"/>
                <w:b w:val="0"/>
                <w:color w:val="17243A"/>
                <w:sz w:val="17"/>
              </w:rPr>
              <w:t>Leadership gets one operating view across systems, controls, approvals, incidents, and runtime signals.</w:t>
            </w:r>
          </w:p>
        </w:tc>
      </w:tr>
      <w:tr>
        <w:trPr>
          <w:cantSplit/>
        </w:trPr>
        <w:tc>
          <w:tcPr>
            <w:tcW w:type="dxa" w:w="900"/>
          </w:tcPr>
          <w:p>
            <w:pPr>
              <w:spacing w:before="0" w:after="0" w:line="276" w:lineRule="auto"/>
              <w:jc w:val="left"/>
            </w:pPr>
            <w:r>
              <w:rPr>
                <w:rFonts w:ascii="Calibri" w:hAnsi="Calibri"/>
                <w:b/>
                <w:color w:val="17243A"/>
                <w:sz w:val="17"/>
              </w:rPr>
              <w:t>2:20-3:30</w:t>
            </w:r>
          </w:p>
        </w:tc>
        <w:tc>
          <w:tcPr>
            <w:tcW w:type="dxa" w:w="1700"/>
          </w:tcPr>
          <w:p>
            <w:pPr>
              <w:spacing w:before="0" w:after="0" w:line="276" w:lineRule="auto"/>
              <w:jc w:val="left"/>
            </w:pPr>
            <w:r>
              <w:rPr>
                <w:rFonts w:ascii="Calibri" w:hAnsi="Calibri"/>
                <w:b w:val="0"/>
                <w:color w:val="17243A"/>
                <w:sz w:val="17"/>
              </w:rPr>
              <w:t>AI registry</w:t>
            </w:r>
          </w:p>
        </w:tc>
        <w:tc>
          <w:tcPr>
            <w:tcW w:type="dxa" w:w="2500"/>
          </w:tcPr>
          <w:p>
            <w:pPr>
              <w:spacing w:before="0" w:after="0" w:line="276" w:lineRule="auto"/>
              <w:jc w:val="left"/>
            </w:pPr>
            <w:r>
              <w:rPr>
                <w:rFonts w:ascii="Calibri" w:hAnsi="Calibri"/>
                <w:b w:val="0"/>
                <w:color w:val="17243A"/>
                <w:sz w:val="17"/>
              </w:rPr>
              <w:t>Open Collections Hardship Assistant; show owner, use case, risk, approval, and coverage.</w:t>
            </w:r>
          </w:p>
        </w:tc>
        <w:tc>
          <w:tcPr>
            <w:tcW w:type="dxa" w:w="4260"/>
          </w:tcPr>
          <w:p>
            <w:pPr>
              <w:spacing w:before="0" w:after="0" w:line="276" w:lineRule="auto"/>
              <w:jc w:val="left"/>
            </w:pPr>
            <w:r>
              <w:rPr>
                <w:rFonts w:ascii="Calibri" w:hAnsi="Calibri"/>
                <w:b w:val="0"/>
                <w:color w:val="17243A"/>
                <w:sz w:val="17"/>
              </w:rPr>
              <w:t>Visibility becomes accountability when every system has an owner, context, and required controls.</w:t>
            </w:r>
          </w:p>
        </w:tc>
      </w:tr>
      <w:tr>
        <w:trPr>
          <w:cantSplit/>
        </w:trPr>
        <w:tc>
          <w:tcPr>
            <w:tcW w:type="dxa" w:w="900"/>
            <w:shd w:fill="F4F6F9" w:val="clear"/>
          </w:tcPr>
          <w:p>
            <w:pPr>
              <w:spacing w:before="0" w:after="0" w:line="276" w:lineRule="auto"/>
              <w:jc w:val="left"/>
            </w:pPr>
            <w:r>
              <w:rPr>
                <w:rFonts w:ascii="Calibri" w:hAnsi="Calibri"/>
                <w:b/>
                <w:color w:val="17243A"/>
                <w:sz w:val="17"/>
              </w:rPr>
              <w:t>3:30-4:05</w:t>
            </w:r>
          </w:p>
        </w:tc>
        <w:tc>
          <w:tcPr>
            <w:tcW w:type="dxa" w:w="1700"/>
            <w:shd w:fill="F4F6F9" w:val="clear"/>
          </w:tcPr>
          <w:p>
            <w:pPr>
              <w:spacing w:before="0" w:after="0" w:line="276" w:lineRule="auto"/>
              <w:jc w:val="left"/>
            </w:pPr>
            <w:r>
              <w:rPr>
                <w:rFonts w:ascii="Calibri" w:hAnsi="Calibri"/>
                <w:b w:val="0"/>
                <w:color w:val="17243A"/>
                <w:sz w:val="17"/>
              </w:rPr>
              <w:t>Transition</w:t>
            </w:r>
          </w:p>
        </w:tc>
        <w:tc>
          <w:tcPr>
            <w:tcW w:type="dxa" w:w="2500"/>
            <w:shd w:fill="F4F6F9" w:val="clear"/>
          </w:tcPr>
          <w:p>
            <w:pPr>
              <w:spacing w:before="0" w:after="0" w:line="276" w:lineRule="auto"/>
              <w:jc w:val="left"/>
            </w:pPr>
            <w:r>
              <w:rPr>
                <w:rFonts w:ascii="Calibri" w:hAnsi="Calibri"/>
                <w:b w:val="0"/>
                <w:color w:val="17243A"/>
                <w:sz w:val="17"/>
              </w:rPr>
              <w:t>Open Frontline workspace and case COL-48211.</w:t>
            </w:r>
          </w:p>
        </w:tc>
        <w:tc>
          <w:tcPr>
            <w:tcW w:type="dxa" w:w="4260"/>
            <w:shd w:fill="F4F6F9" w:val="clear"/>
          </w:tcPr>
          <w:p>
            <w:pPr>
              <w:spacing w:before="0" w:after="0" w:line="276" w:lineRule="auto"/>
              <w:jc w:val="left"/>
            </w:pPr>
            <w:r>
              <w:rPr>
                <w:rFonts w:ascii="Calibri" w:hAnsi="Calibri"/>
                <w:b w:val="0"/>
                <w:color w:val="17243A"/>
                <w:sz w:val="17"/>
              </w:rPr>
              <w:t>A registry says what should happen. Runtime control proves whether it actually happens.</w:t>
            </w:r>
          </w:p>
        </w:tc>
      </w:tr>
      <w:tr>
        <w:trPr>
          <w:cantSplit/>
        </w:trPr>
        <w:tc>
          <w:tcPr>
            <w:tcW w:type="dxa" w:w="900"/>
          </w:tcPr>
          <w:p>
            <w:pPr>
              <w:spacing w:before="0" w:after="0" w:line="276" w:lineRule="auto"/>
              <w:jc w:val="left"/>
            </w:pPr>
            <w:r>
              <w:rPr>
                <w:rFonts w:ascii="Calibri" w:hAnsi="Calibri"/>
                <w:b/>
                <w:color w:val="17243A"/>
                <w:sz w:val="17"/>
              </w:rPr>
              <w:t>4:05-5:30</w:t>
            </w:r>
          </w:p>
        </w:tc>
        <w:tc>
          <w:tcPr>
            <w:tcW w:type="dxa" w:w="1700"/>
          </w:tcPr>
          <w:p>
            <w:pPr>
              <w:spacing w:before="0" w:after="0" w:line="276" w:lineRule="auto"/>
              <w:jc w:val="left"/>
            </w:pPr>
            <w:r>
              <w:rPr>
                <w:rFonts w:ascii="Calibri" w:hAnsi="Calibri"/>
                <w:b w:val="0"/>
                <w:color w:val="17243A"/>
                <w:sz w:val="17"/>
              </w:rPr>
              <w:t>Safe request</w:t>
            </w:r>
          </w:p>
        </w:tc>
        <w:tc>
          <w:tcPr>
            <w:tcW w:type="dxa" w:w="2500"/>
          </w:tcPr>
          <w:p>
            <w:pPr>
              <w:spacing w:before="0" w:after="0" w:line="276" w:lineRule="auto"/>
              <w:jc w:val="left"/>
            </w:pPr>
            <w:r>
              <w:rPr>
                <w:rFonts w:ascii="Calibri" w:hAnsi="Calibri"/>
                <w:b w:val="0"/>
                <w:color w:val="17243A"/>
                <w:sz w:val="17"/>
              </w:rPr>
              <w:t>Run the green hardship-response prompt.</w:t>
            </w:r>
          </w:p>
        </w:tc>
        <w:tc>
          <w:tcPr>
            <w:tcW w:type="dxa" w:w="4260"/>
          </w:tcPr>
          <w:p>
            <w:pPr>
              <w:spacing w:before="0" w:after="0" w:line="276" w:lineRule="auto"/>
              <w:jc w:val="left"/>
            </w:pPr>
            <w:r>
              <w:rPr>
                <w:rFonts w:ascii="Calibri" w:hAnsi="Calibri"/>
                <w:b w:val="0"/>
                <w:color w:val="17243A"/>
                <w:sz w:val="17"/>
              </w:rPr>
              <w:t>Useful work proceeds; decision, reasons, user, system, case, and correlation are recorded.</w:t>
            </w:r>
          </w:p>
        </w:tc>
      </w:tr>
      <w:tr>
        <w:trPr>
          <w:cantSplit/>
        </w:trPr>
        <w:tc>
          <w:tcPr>
            <w:tcW w:type="dxa" w:w="900"/>
            <w:shd w:fill="F4F6F9" w:val="clear"/>
          </w:tcPr>
          <w:p>
            <w:pPr>
              <w:spacing w:before="0" w:after="0" w:line="276" w:lineRule="auto"/>
              <w:jc w:val="left"/>
            </w:pPr>
            <w:r>
              <w:rPr>
                <w:rFonts w:ascii="Calibri" w:hAnsi="Calibri"/>
                <w:b/>
                <w:color w:val="17243A"/>
                <w:sz w:val="17"/>
              </w:rPr>
              <w:t>5:30-7:00</w:t>
            </w:r>
          </w:p>
        </w:tc>
        <w:tc>
          <w:tcPr>
            <w:tcW w:type="dxa" w:w="1700"/>
            <w:shd w:fill="F4F6F9" w:val="clear"/>
          </w:tcPr>
          <w:p>
            <w:pPr>
              <w:spacing w:before="0" w:after="0" w:line="276" w:lineRule="auto"/>
              <w:jc w:val="left"/>
            </w:pPr>
            <w:r>
              <w:rPr>
                <w:rFonts w:ascii="Calibri" w:hAnsi="Calibri"/>
                <w:b w:val="0"/>
                <w:color w:val="17243A"/>
                <w:sz w:val="17"/>
              </w:rPr>
              <w:t>Blocked request</w:t>
            </w:r>
          </w:p>
        </w:tc>
        <w:tc>
          <w:tcPr>
            <w:tcW w:type="dxa" w:w="2500"/>
            <w:shd w:fill="F4F6F9" w:val="clear"/>
          </w:tcPr>
          <w:p>
            <w:pPr>
              <w:spacing w:before="0" w:after="0" w:line="276" w:lineRule="auto"/>
              <w:jc w:val="left"/>
            </w:pPr>
            <w:r>
              <w:rPr>
                <w:rFonts w:ascii="Calibri" w:hAnsi="Calibri"/>
                <w:b w:val="0"/>
                <w:color w:val="17243A"/>
                <w:sz w:val="17"/>
              </w:rPr>
              <w:t>Run the red PII/internal-script prompt.</w:t>
            </w:r>
          </w:p>
        </w:tc>
        <w:tc>
          <w:tcPr>
            <w:tcW w:type="dxa" w:w="4260"/>
            <w:shd w:fill="F4F6F9" w:val="clear"/>
          </w:tcPr>
          <w:p>
            <w:pPr>
              <w:spacing w:before="0" w:after="0" w:line="276" w:lineRule="auto"/>
              <w:jc w:val="left"/>
            </w:pPr>
            <w:r>
              <w:rPr>
                <w:rFonts w:ascii="Calibri" w:hAnsi="Calibri"/>
                <w:b w:val="0"/>
                <w:color w:val="17243A"/>
                <w:sz w:val="17"/>
              </w:rPr>
              <w:t>Policy stops the request before model execution. This is enforcement, not retrospective reporting.</w:t>
            </w:r>
          </w:p>
        </w:tc>
      </w:tr>
      <w:tr>
        <w:trPr>
          <w:cantSplit/>
        </w:trPr>
        <w:tc>
          <w:tcPr>
            <w:tcW w:type="dxa" w:w="900"/>
          </w:tcPr>
          <w:p>
            <w:pPr>
              <w:spacing w:before="0" w:after="0" w:line="276" w:lineRule="auto"/>
              <w:jc w:val="left"/>
            </w:pPr>
            <w:r>
              <w:rPr>
                <w:rFonts w:ascii="Calibri" w:hAnsi="Calibri"/>
                <w:b/>
                <w:color w:val="17243A"/>
                <w:sz w:val="17"/>
              </w:rPr>
              <w:t>7:00-8:30</w:t>
            </w:r>
          </w:p>
        </w:tc>
        <w:tc>
          <w:tcPr>
            <w:tcW w:type="dxa" w:w="1700"/>
          </w:tcPr>
          <w:p>
            <w:pPr>
              <w:spacing w:before="0" w:after="0" w:line="276" w:lineRule="auto"/>
              <w:jc w:val="left"/>
            </w:pPr>
            <w:r>
              <w:rPr>
                <w:rFonts w:ascii="Calibri" w:hAnsi="Calibri"/>
                <w:b w:val="0"/>
                <w:color w:val="17243A"/>
                <w:sz w:val="17"/>
              </w:rPr>
              <w:t>Runtime</w:t>
            </w:r>
          </w:p>
        </w:tc>
        <w:tc>
          <w:tcPr>
            <w:tcW w:type="dxa" w:w="2500"/>
          </w:tcPr>
          <w:p>
            <w:pPr>
              <w:spacing w:before="0" w:after="0" w:line="276" w:lineRule="auto"/>
              <w:jc w:val="left"/>
            </w:pPr>
            <w:r>
              <w:rPr>
                <w:rFonts w:ascii="Calibri" w:hAnsi="Calibri"/>
                <w:b w:val="0"/>
                <w:color w:val="17243A"/>
                <w:sz w:val="17"/>
              </w:rPr>
              <w:t>Show the allowed and blocked events side by side.</w:t>
            </w:r>
          </w:p>
        </w:tc>
        <w:tc>
          <w:tcPr>
            <w:tcW w:type="dxa" w:w="4260"/>
          </w:tcPr>
          <w:p>
            <w:pPr>
              <w:spacing w:before="0" w:after="0" w:line="276" w:lineRule="auto"/>
              <w:jc w:val="left"/>
            </w:pPr>
            <w:r>
              <w:rPr>
                <w:rFonts w:ascii="Calibri" w:hAnsi="Calibri"/>
                <w:b w:val="0"/>
                <w:color w:val="17243A"/>
                <w:sz w:val="17"/>
              </w:rPr>
              <w:t>The visible block is only the first result; the control plane creates operational evidence behind it.</w:t>
            </w:r>
          </w:p>
        </w:tc>
      </w:tr>
      <w:tr>
        <w:trPr>
          <w:cantSplit/>
        </w:trPr>
        <w:tc>
          <w:tcPr>
            <w:tcW w:type="dxa" w:w="900"/>
            <w:shd w:fill="F4F6F9" w:val="clear"/>
          </w:tcPr>
          <w:p>
            <w:pPr>
              <w:spacing w:before="0" w:after="0" w:line="276" w:lineRule="auto"/>
              <w:jc w:val="left"/>
            </w:pPr>
            <w:r>
              <w:rPr>
                <w:rFonts w:ascii="Calibri" w:hAnsi="Calibri"/>
                <w:b/>
                <w:color w:val="17243A"/>
                <w:sz w:val="17"/>
              </w:rPr>
              <w:t>8:30-9:45</w:t>
            </w:r>
          </w:p>
        </w:tc>
        <w:tc>
          <w:tcPr>
            <w:tcW w:type="dxa" w:w="1700"/>
            <w:shd w:fill="F4F6F9" w:val="clear"/>
          </w:tcPr>
          <w:p>
            <w:pPr>
              <w:spacing w:before="0" w:after="0" w:line="276" w:lineRule="auto"/>
              <w:jc w:val="left"/>
            </w:pPr>
            <w:r>
              <w:rPr>
                <w:rFonts w:ascii="Calibri" w:hAnsi="Calibri"/>
                <w:b w:val="0"/>
                <w:color w:val="17243A"/>
                <w:sz w:val="17"/>
              </w:rPr>
              <w:t>Incidents</w:t>
            </w:r>
          </w:p>
        </w:tc>
        <w:tc>
          <w:tcPr>
            <w:tcW w:type="dxa" w:w="2500"/>
            <w:shd w:fill="F4F6F9" w:val="clear"/>
          </w:tcPr>
          <w:p>
            <w:pPr>
              <w:spacing w:before="0" w:after="0" w:line="276" w:lineRule="auto"/>
              <w:jc w:val="left"/>
            </w:pPr>
            <w:r>
              <w:rPr>
                <w:rFonts w:ascii="Calibri" w:hAnsi="Calibri"/>
                <w:b w:val="0"/>
                <w:color w:val="17243A"/>
                <w:sz w:val="17"/>
              </w:rPr>
              <w:t>Show severity, owner, reasons, containment, incident ID, and correlation.</w:t>
            </w:r>
          </w:p>
        </w:tc>
        <w:tc>
          <w:tcPr>
            <w:tcW w:type="dxa" w:w="4260"/>
            <w:shd w:fill="F4F6F9" w:val="clear"/>
          </w:tcPr>
          <w:p>
            <w:pPr>
              <w:spacing w:before="0" w:after="0" w:line="276" w:lineRule="auto"/>
              <w:jc w:val="left"/>
            </w:pPr>
            <w:r>
              <w:rPr>
                <w:rFonts w:ascii="Calibri" w:hAnsi="Calibri"/>
                <w:b w:val="0"/>
                <w:color w:val="17243A"/>
                <w:sz w:val="17"/>
              </w:rPr>
              <w:t>A policy breach becomes owned operational work with evidence already attached.</w:t>
            </w:r>
          </w:p>
        </w:tc>
      </w:tr>
      <w:tr>
        <w:trPr>
          <w:cantSplit/>
        </w:trPr>
        <w:tc>
          <w:tcPr>
            <w:tcW w:type="dxa" w:w="900"/>
          </w:tcPr>
          <w:p>
            <w:pPr>
              <w:spacing w:before="0" w:after="0" w:line="276" w:lineRule="auto"/>
              <w:jc w:val="left"/>
            </w:pPr>
            <w:r>
              <w:rPr>
                <w:rFonts w:ascii="Calibri" w:hAnsi="Calibri"/>
                <w:b/>
                <w:color w:val="17243A"/>
                <w:sz w:val="17"/>
              </w:rPr>
              <w:t>9:45-10:45</w:t>
            </w:r>
          </w:p>
        </w:tc>
        <w:tc>
          <w:tcPr>
            <w:tcW w:type="dxa" w:w="1700"/>
          </w:tcPr>
          <w:p>
            <w:pPr>
              <w:spacing w:before="0" w:after="0" w:line="276" w:lineRule="auto"/>
              <w:jc w:val="left"/>
            </w:pPr>
            <w:r>
              <w:rPr>
                <w:rFonts w:ascii="Calibri" w:hAnsi="Calibri"/>
                <w:b w:val="0"/>
                <w:color w:val="17243A"/>
                <w:sz w:val="17"/>
              </w:rPr>
              <w:t>Decision trace</w:t>
            </w:r>
          </w:p>
        </w:tc>
        <w:tc>
          <w:tcPr>
            <w:tcW w:type="dxa" w:w="2500"/>
          </w:tcPr>
          <w:p>
            <w:pPr>
              <w:spacing w:before="0" w:after="0" w:line="276" w:lineRule="auto"/>
              <w:jc w:val="left"/>
            </w:pPr>
            <w:r>
              <w:rPr>
                <w:rFonts w:ascii="Calibri" w:hAnsi="Calibri"/>
                <w:b w:val="0"/>
                <w:color w:val="17243A"/>
                <w:sz w:val="17"/>
              </w:rPr>
              <w:t>Show response skipped, released no, evidence captured, and correlation.</w:t>
            </w:r>
          </w:p>
        </w:tc>
        <w:tc>
          <w:tcPr>
            <w:tcW w:type="dxa" w:w="4260"/>
          </w:tcPr>
          <w:p>
            <w:pPr>
              <w:spacing w:before="0" w:after="0" w:line="276" w:lineRule="auto"/>
              <w:jc w:val="left"/>
            </w:pPr>
            <w:r>
              <w:rPr>
                <w:rFonts w:ascii="Calibri" w:hAnsi="Calibri"/>
                <w:b w:val="0"/>
                <w:color w:val="17243A"/>
                <w:sz w:val="17"/>
              </w:rPr>
              <w:t>An operator or auditor can reconstruct what was requested, decided, executed, and released.</w:t>
            </w:r>
          </w:p>
        </w:tc>
      </w:tr>
      <w:tr>
        <w:trPr>
          <w:cantSplit/>
        </w:trPr>
        <w:tc>
          <w:tcPr>
            <w:tcW w:type="dxa" w:w="900"/>
            <w:shd w:fill="F4F6F9" w:val="clear"/>
          </w:tcPr>
          <w:p>
            <w:pPr>
              <w:spacing w:before="0" w:after="0" w:line="276" w:lineRule="auto"/>
              <w:jc w:val="left"/>
            </w:pPr>
            <w:r>
              <w:rPr>
                <w:rFonts w:ascii="Calibri" w:hAnsi="Calibri"/>
                <w:b/>
                <w:color w:val="17243A"/>
                <w:sz w:val="17"/>
              </w:rPr>
              <w:t>10:45-11:40</w:t>
            </w:r>
          </w:p>
        </w:tc>
        <w:tc>
          <w:tcPr>
            <w:tcW w:type="dxa" w:w="1700"/>
            <w:shd w:fill="F4F6F9" w:val="clear"/>
          </w:tcPr>
          <w:p>
            <w:pPr>
              <w:spacing w:before="0" w:after="0" w:line="276" w:lineRule="auto"/>
              <w:jc w:val="left"/>
            </w:pPr>
            <w:r>
              <w:rPr>
                <w:rFonts w:ascii="Calibri" w:hAnsi="Calibri"/>
                <w:b w:val="0"/>
                <w:color w:val="17243A"/>
                <w:sz w:val="17"/>
              </w:rPr>
              <w:t>Command center</w:t>
            </w:r>
          </w:p>
        </w:tc>
        <w:tc>
          <w:tcPr>
            <w:tcW w:type="dxa" w:w="2500"/>
            <w:shd w:fill="F4F6F9" w:val="clear"/>
          </w:tcPr>
          <w:p>
            <w:pPr>
              <w:spacing w:before="0" w:after="0" w:line="276" w:lineRule="auto"/>
              <w:jc w:val="left"/>
            </w:pPr>
            <w:r>
              <w:rPr>
                <w:rFonts w:ascii="Calibri" w:hAnsi="Calibri"/>
                <w:b w:val="0"/>
                <w:color w:val="17243A"/>
                <w:sz w:val="17"/>
              </w:rPr>
              <w:t>Return to the updated evidence stream.</w:t>
            </w:r>
          </w:p>
        </w:tc>
        <w:tc>
          <w:tcPr>
            <w:tcW w:type="dxa" w:w="4260"/>
            <w:shd w:fill="F4F6F9" w:val="clear"/>
          </w:tcPr>
          <w:p>
            <w:pPr>
              <w:spacing w:before="0" w:after="0" w:line="276" w:lineRule="auto"/>
              <w:jc w:val="left"/>
            </w:pPr>
            <w:r>
              <w:rPr>
                <w:rFonts w:ascii="Calibri" w:hAnsi="Calibri"/>
                <w:b w:val="0"/>
                <w:color w:val="17243A"/>
                <w:sz w:val="17"/>
              </w:rPr>
              <w:t>One frontline action updated monitoring, incident response, executive posture, and audit evidence.</w:t>
            </w:r>
          </w:p>
        </w:tc>
      </w:tr>
      <w:tr>
        <w:trPr>
          <w:cantSplit/>
        </w:trPr>
        <w:tc>
          <w:tcPr>
            <w:tcW w:type="dxa" w:w="900"/>
          </w:tcPr>
          <w:p>
            <w:pPr>
              <w:spacing w:before="0" w:after="0" w:line="276" w:lineRule="auto"/>
              <w:jc w:val="left"/>
            </w:pPr>
            <w:r>
              <w:rPr>
                <w:rFonts w:ascii="Calibri" w:hAnsi="Calibri"/>
                <w:b/>
                <w:color w:val="17243A"/>
                <w:sz w:val="17"/>
              </w:rPr>
              <w:t>11:40-12:40</w:t>
            </w:r>
          </w:p>
        </w:tc>
        <w:tc>
          <w:tcPr>
            <w:tcW w:type="dxa" w:w="1700"/>
          </w:tcPr>
          <w:p>
            <w:pPr>
              <w:spacing w:before="0" w:after="0" w:line="276" w:lineRule="auto"/>
              <w:jc w:val="left"/>
            </w:pPr>
            <w:r>
              <w:rPr>
                <w:rFonts w:ascii="Calibri" w:hAnsi="Calibri"/>
                <w:b w:val="0"/>
                <w:color w:val="17243A"/>
                <w:sz w:val="17"/>
              </w:rPr>
              <w:t>ACTURUS</w:t>
            </w:r>
          </w:p>
        </w:tc>
        <w:tc>
          <w:tcPr>
            <w:tcW w:type="dxa" w:w="2500"/>
          </w:tcPr>
          <w:p>
            <w:pPr>
              <w:spacing w:before="0" w:after="0" w:line="276" w:lineRule="auto"/>
              <w:jc w:val="left"/>
            </w:pPr>
            <w:r>
              <w:rPr>
                <w:rFonts w:ascii="Calibri" w:hAnsi="Calibri"/>
                <w:b w:val="0"/>
                <w:color w:val="17243A"/>
                <w:sz w:val="17"/>
              </w:rPr>
              <w:t>Show the company story and co-founders briefly.</w:t>
            </w:r>
          </w:p>
        </w:tc>
        <w:tc>
          <w:tcPr>
            <w:tcW w:type="dxa" w:w="4260"/>
          </w:tcPr>
          <w:p>
            <w:pPr>
              <w:spacing w:before="0" w:after="0" w:line="276" w:lineRule="auto"/>
              <w:jc w:val="left"/>
            </w:pPr>
            <w:r>
              <w:rPr>
                <w:rFonts w:ascii="Calibri" w:hAnsi="Calibri"/>
                <w:b w:val="0"/>
                <w:color w:val="17243A"/>
                <w:sz w:val="17"/>
              </w:rPr>
              <w:t>ACTURUS was formed to bring mission-critical operating discipline to enterprise AI.</w:t>
            </w:r>
          </w:p>
        </w:tc>
      </w:tr>
      <w:tr>
        <w:trPr>
          <w:cantSplit/>
        </w:trPr>
        <w:tc>
          <w:tcPr>
            <w:tcW w:type="dxa" w:w="900"/>
            <w:shd w:fill="F4F6F9" w:val="clear"/>
          </w:tcPr>
          <w:p>
            <w:pPr>
              <w:spacing w:before="0" w:after="0" w:line="276" w:lineRule="auto"/>
              <w:jc w:val="left"/>
            </w:pPr>
            <w:r>
              <w:rPr>
                <w:rFonts w:ascii="Calibri" w:hAnsi="Calibri"/>
                <w:b/>
                <w:color w:val="17243A"/>
                <w:sz w:val="17"/>
              </w:rPr>
              <w:t>12:40-14:00</w:t>
            </w:r>
          </w:p>
        </w:tc>
        <w:tc>
          <w:tcPr>
            <w:tcW w:type="dxa" w:w="1700"/>
            <w:shd w:fill="F4F6F9" w:val="clear"/>
          </w:tcPr>
          <w:p>
            <w:pPr>
              <w:spacing w:before="0" w:after="0" w:line="276" w:lineRule="auto"/>
              <w:jc w:val="left"/>
            </w:pPr>
            <w:r>
              <w:rPr>
                <w:rFonts w:ascii="Calibri" w:hAnsi="Calibri"/>
                <w:b w:val="0"/>
                <w:color w:val="17243A"/>
                <w:sz w:val="17"/>
              </w:rPr>
              <w:t>Close</w:t>
            </w:r>
          </w:p>
        </w:tc>
        <w:tc>
          <w:tcPr>
            <w:tcW w:type="dxa" w:w="2500"/>
            <w:shd w:fill="F4F6F9" w:val="clear"/>
          </w:tcPr>
          <w:p>
            <w:pPr>
              <w:spacing w:before="0" w:after="0" w:line="276" w:lineRule="auto"/>
              <w:jc w:val="left"/>
            </w:pPr>
            <w:r>
              <w:rPr>
                <w:rFonts w:ascii="Calibri" w:hAnsi="Calibri"/>
                <w:b w:val="0"/>
                <w:color w:val="17243A"/>
                <w:sz w:val="17"/>
              </w:rPr>
              <w:t>Restate outcomes; deliver a specific CTA; stop and invite questions.</w:t>
            </w:r>
          </w:p>
        </w:tc>
        <w:tc>
          <w:tcPr>
            <w:tcW w:type="dxa" w:w="4260"/>
            <w:shd w:fill="F4F6F9" w:val="clear"/>
          </w:tcPr>
          <w:p>
            <w:pPr>
              <w:spacing w:before="0" w:after="0" w:line="276" w:lineRule="auto"/>
              <w:jc w:val="left"/>
            </w:pPr>
            <w:r>
              <w:rPr>
                <w:rFonts w:ascii="Calibri" w:hAnsi="Calibri"/>
                <w:b w:val="0"/>
                <w:color w:val="17243A"/>
                <w:sz w:val="17"/>
              </w:rPr>
              <w:t>Faster adoption. Enforced safeguards. Audit-ready evidence.</w:t>
            </w:r>
          </w:p>
        </w:tc>
      </w:tr>
    </w:tbl>
    <w:p>
      <w:pPr>
        <w:spacing w:before="80" w:after="160" w:line="288" w:lineRule="auto"/>
        <w:ind w:left="230" w:right="173"/>
        <w:shd w:fill="F2EFFF" w:val="clear"/>
        <w:pBdr>
          <w:left w:val="single" w:sz="20" w:space="7" w:color="7569D8"/>
        </w:pBdr>
      </w:pPr>
      <w:r>
        <w:rPr>
          <w:rFonts w:ascii="Calibri" w:hAnsi="Calibri"/>
          <w:b/>
          <w:color w:val="7569D8"/>
          <w:sz w:val="19"/>
        </w:rPr>
        <w:t xml:space="preserve">PRESENTER DISCIPLINE  </w:t>
      </w:r>
      <w:r>
        <w:rPr>
          <w:rFonts w:ascii="Calibri" w:hAnsi="Calibri"/>
          <w:color w:val="17243A"/>
          <w:sz w:val="21"/>
        </w:rPr>
        <w:t>The dashboard is context. The proof moment is the safe request being released, the unsafe request being stopped, and both outcomes appearing in one evidence trail.</w:t>
      </w:r>
    </w:p>
    <w:p>
      <w:pPr>
        <w:pageBreakBefore/>
        <w:spacing w:before="0" w:after="0" w:line="20" w:lineRule="exact"/>
      </w:pPr>
      <w:r>
        <w:rPr>
          <w:rFonts w:ascii="Calibri" w:hAnsi="Calibri"/>
          <w:color w:val="FFFFFF"/>
          <w:sz w:val="2"/>
        </w:rPr>
        <w:t xml:space="preserve"> </w:t>
      </w:r>
    </w:p>
    <w:p>
      <w:pPr>
        <w:pStyle w:val="Heading1"/>
        <w:keepNext/>
      </w:pPr>
      <w:r>
        <w:rPr>
          <w:rFonts w:ascii="Calibri" w:hAnsi="Calibri"/>
          <w:b/>
          <w:color w:val="356CFF"/>
          <w:sz w:val="32"/>
        </w:rPr>
        <w:t>Presenter talk track: frame and allow</w:t>
      </w:r>
    </w:p>
    <w:p>
      <w:pPr>
        <w:keepNext/>
        <w:spacing w:before="0" w:after="200"/>
      </w:pPr>
      <w:r>
        <w:rPr>
          <w:rFonts w:ascii="Calibri" w:hAnsi="Calibri"/>
          <w:i/>
          <w:color w:val="5F6D82"/>
          <w:sz w:val="21"/>
        </w:rPr>
        <w:t>Use the quoted language as a guide, not as something to read mechanically.</w:t>
      </w:r>
    </w:p>
    <w:p>
      <w:pPr>
        <w:pStyle w:val="Heading2"/>
        <w:keepNext/>
        <w:numPr>
          <w:ilvl w:val="0"/>
          <w:numId w:val="5"/>
        </w:numPr>
      </w:pPr>
      <w:r>
        <w:rPr>
          <w:rFonts w:ascii="Calibri" w:hAnsi="Calibri"/>
          <w:b/>
          <w:color w:val="356CFF"/>
          <w:sz w:val="26"/>
        </w:rPr>
        <w:t>Set the frame on the welcome page</w:t>
      </w:r>
    </w:p>
    <w:p>
      <w:pPr>
        <w:keepLines w:val="0"/>
        <w:spacing w:before="0" w:after="120" w:line="300" w:lineRule="auto"/>
      </w:pPr>
      <w:r>
        <w:rPr>
          <w:rFonts w:ascii="Calibri" w:hAnsi="Calibri"/>
          <w:b/>
          <w:color w:val="17243A"/>
        </w:rPr>
        <w:t>Show:</w:t>
      </w:r>
      <w:r>
        <w:rPr>
          <w:rFonts w:ascii="Calibri" w:hAnsi="Calibri"/>
          <w:color w:val="17243A"/>
        </w:rPr>
        <w:t xml:space="preserve"> the hero, floating runtime-control scene, and Register - Assess - Enforce - Prove lifecycle.</w:t>
      </w:r>
    </w:p>
    <w:p>
      <w:pPr>
        <w:spacing w:before="80" w:after="160" w:line="288" w:lineRule="auto"/>
        <w:ind w:left="230" w:right="173"/>
        <w:shd w:fill="EAF2FF" w:val="clear"/>
        <w:pBdr>
          <w:left w:val="single" w:sz="20" w:space="7" w:color="356CFF"/>
        </w:pBdr>
      </w:pPr>
      <w:r>
        <w:rPr>
          <w:rFonts w:ascii="Calibri" w:hAnsi="Calibri"/>
          <w:b/>
          <w:color w:val="356CFF"/>
          <w:sz w:val="19"/>
        </w:rPr>
        <w:t xml:space="preserve">SAY  </w:t>
      </w:r>
      <w:r>
        <w:rPr>
          <w:rFonts w:ascii="Calibri" w:hAnsi="Calibri"/>
          <w:color w:val="17243A"/>
          <w:sz w:val="21"/>
        </w:rPr>
        <w:t>Everything shown today is synthetic and deterministic. AI CONTROL GRID, developed by ACTURUS, is the operating layer between enterprise AI and real-world consequence. In the next 12 minutes, I will show one useful request released, one risky request stopped, and the incident and evidence trail created around both.</w:t>
      </w:r>
    </w:p>
    <w:p>
      <w:pPr>
        <w:pStyle w:val="Heading2"/>
        <w:keepNext/>
        <w:numPr>
          <w:ilvl w:val="0"/>
          <w:numId w:val="5"/>
        </w:numPr>
      </w:pPr>
      <w:r>
        <w:rPr>
          <w:rFonts w:ascii="Calibri" w:hAnsi="Calibri"/>
          <w:b/>
          <w:color w:val="356CFF"/>
          <w:sz w:val="26"/>
        </w:rPr>
        <w:t>Introduce the command center</w:t>
      </w:r>
    </w:p>
    <w:p>
      <w:pPr>
        <w:keepLines w:val="0"/>
        <w:spacing w:before="0" w:after="120" w:line="300" w:lineRule="auto"/>
      </w:pPr>
      <w:r>
        <w:rPr>
          <w:rFonts w:ascii="Calibri" w:hAnsi="Calibri"/>
          <w:b/>
          <w:color w:val="17243A"/>
        </w:rPr>
        <w:t>Show:</w:t>
      </w:r>
      <w:r>
        <w:rPr>
          <w:rFonts w:ascii="Calibri" w:hAnsi="Calibri"/>
          <w:color w:val="17243A"/>
        </w:rPr>
        <w:t xml:space="preserve"> portfolio posture, governed inventory, control coverage, and the live evidence stream. Avoid explaining every KPI.</w:t>
      </w:r>
    </w:p>
    <w:p>
      <w:pPr>
        <w:spacing w:before="80" w:after="160" w:line="288" w:lineRule="auto"/>
        <w:ind w:left="230" w:right="173"/>
        <w:shd w:fill="EDF9FC" w:val="clear"/>
        <w:pBdr>
          <w:left w:val="single" w:sz="20" w:space="7" w:color="1599B8"/>
        </w:pBdr>
      </w:pPr>
      <w:r>
        <w:rPr>
          <w:rFonts w:ascii="Calibri" w:hAnsi="Calibri"/>
          <w:b/>
          <w:color w:val="1599B8"/>
          <w:sz w:val="19"/>
        </w:rPr>
        <w:t xml:space="preserve">SAY  </w:t>
      </w:r>
      <w:r>
        <w:rPr>
          <w:rFonts w:ascii="Calibri" w:hAnsi="Calibri"/>
          <w:color w:val="17243A"/>
          <w:sz w:val="21"/>
        </w:rPr>
        <w:t>Leadership gets one operating picture of systems, risk, controls, approvals, incidents, and runtime signals.</w:t>
      </w:r>
    </w:p>
    <w:p>
      <w:pPr>
        <w:pStyle w:val="Heading2"/>
        <w:keepNext/>
        <w:numPr>
          <w:ilvl w:val="0"/>
          <w:numId w:val="5"/>
        </w:numPr>
      </w:pPr>
      <w:r>
        <w:rPr>
          <w:rFonts w:ascii="Calibri" w:hAnsi="Calibri"/>
          <w:b/>
          <w:color w:val="356CFF"/>
          <w:sz w:val="26"/>
        </w:rPr>
        <w:t>Anchor the story in the registry</w:t>
      </w:r>
    </w:p>
    <w:p>
      <w:pPr>
        <w:keepLines w:val="0"/>
        <w:spacing w:before="0" w:after="120" w:line="300" w:lineRule="auto"/>
      </w:pPr>
      <w:r>
        <w:rPr>
          <w:rFonts w:ascii="Calibri" w:hAnsi="Calibri"/>
          <w:color w:val="17243A"/>
        </w:rPr>
        <w:t>Open Collections Hardship Assistant and point to its owner, use case, risk, approval tier, status, and control coverage.</w:t>
      </w:r>
    </w:p>
    <w:p>
      <w:pPr>
        <w:spacing w:before="80" w:after="160" w:line="288" w:lineRule="auto"/>
        <w:ind w:left="230" w:right="173"/>
        <w:shd w:fill="EDF9FC" w:val="clear"/>
        <w:pBdr>
          <w:left w:val="single" w:sz="20" w:space="7" w:color="1599B8"/>
        </w:pBdr>
      </w:pPr>
      <w:r>
        <w:rPr>
          <w:rFonts w:ascii="Calibri" w:hAnsi="Calibri"/>
          <w:b/>
          <w:color w:val="1599B8"/>
          <w:sz w:val="19"/>
        </w:rPr>
        <w:t xml:space="preserve">SAY  </w:t>
      </w:r>
      <w:r>
        <w:rPr>
          <w:rFonts w:ascii="Calibri" w:hAnsi="Calibri"/>
          <w:color w:val="17243A"/>
          <w:sz w:val="21"/>
        </w:rPr>
        <w:t>Visibility becomes accountability when every AI system has an owner, operating context, risk classification, and required controls.</w:t>
      </w:r>
    </w:p>
    <w:p>
      <w:pPr>
        <w:pStyle w:val="Heading2"/>
        <w:keepNext/>
        <w:numPr>
          <w:ilvl w:val="0"/>
          <w:numId w:val="5"/>
        </w:numPr>
      </w:pPr>
      <w:r>
        <w:rPr>
          <w:rFonts w:ascii="Calibri" w:hAnsi="Calibri"/>
          <w:b/>
          <w:color w:val="356CFF"/>
          <w:sz w:val="26"/>
        </w:rPr>
        <w:t>Move from governance paperwork to real work</w:t>
      </w:r>
    </w:p>
    <w:p>
      <w:pPr>
        <w:keepLines w:val="0"/>
        <w:spacing w:before="0" w:after="120" w:line="300" w:lineRule="auto"/>
      </w:pPr>
      <w:r>
        <w:rPr>
          <w:rFonts w:ascii="Calibri" w:hAnsi="Calibri"/>
          <w:color w:val="17243A"/>
        </w:rPr>
        <w:t>Open the Northstar frontline workspace, sign in as Mia Foster, and select case COL-48211.</w:t>
      </w:r>
    </w:p>
    <w:p>
      <w:pPr>
        <w:spacing w:before="80" w:after="160" w:line="288" w:lineRule="auto"/>
        <w:ind w:left="230" w:right="173"/>
        <w:shd w:fill="F2EFFF" w:val="clear"/>
        <w:pBdr>
          <w:left w:val="single" w:sz="20" w:space="7" w:color="7569D8"/>
        </w:pBdr>
      </w:pPr>
      <w:r>
        <w:rPr>
          <w:rFonts w:ascii="Calibri" w:hAnsi="Calibri"/>
          <w:b/>
          <w:color w:val="7569D8"/>
          <w:sz w:val="19"/>
        </w:rPr>
        <w:t xml:space="preserve">TRANSITION  </w:t>
      </w:r>
      <w:r>
        <w:rPr>
          <w:rFonts w:ascii="Calibri" w:hAnsi="Calibri"/>
          <w:color w:val="17243A"/>
          <w:sz w:val="21"/>
        </w:rPr>
        <w:t>A registry tells us what should happen. Runtime control shows whether it actually happens.</w:t>
      </w:r>
    </w:p>
    <w:p>
      <w:pPr>
        <w:pStyle w:val="Heading2"/>
        <w:keepNext/>
        <w:numPr>
          <w:ilvl w:val="0"/>
          <w:numId w:val="5"/>
        </w:numPr>
      </w:pPr>
      <w:r>
        <w:rPr>
          <w:rFonts w:ascii="Calibri" w:hAnsi="Calibri"/>
          <w:b/>
          <w:color w:val="356CFF"/>
          <w:sz w:val="26"/>
        </w:rPr>
        <w:t>Run the safe request first</w:t>
      </w:r>
    </w:p>
    <w:p>
      <w:pPr>
        <w:spacing w:before="80" w:after="140" w:line="288" w:lineRule="auto"/>
        <w:ind w:left="230" w:right="173"/>
        <w:shd w:fill="EAF7F3" w:val="clear"/>
        <w:pBdr>
          <w:left w:val="single" w:sz="20" w:space="7" w:color="177A65"/>
        </w:pBdr>
      </w:pPr>
      <w:r>
        <w:rPr>
          <w:rFonts w:ascii="Calibri" w:hAnsi="Calibri"/>
          <w:b/>
          <w:color w:val="177A65"/>
          <w:sz w:val="19"/>
        </w:rPr>
        <w:t xml:space="preserve">SAFE PROMPT  </w:t>
      </w:r>
      <w:r>
        <w:rPr>
          <w:rFonts w:ascii="Calibri" w:hAnsi="Calibri"/>
          <w:color w:val="17243A"/>
          <w:sz w:val="21"/>
        </w:rPr>
        <w:t>Draft a calm customer reply that explains the hardship-review steps and the evidence still needed.</w:t>
      </w:r>
    </w:p>
    <w:p>
      <w:pPr>
        <w:keepLines w:val="0"/>
        <w:spacing w:before="0" w:after="120" w:line="300" w:lineRule="auto"/>
      </w:pPr>
      <w:r>
        <w:rPr>
          <w:rFonts w:ascii="Calibri" w:hAnsi="Calibri"/>
          <w:color w:val="17243A"/>
        </w:rPr>
        <w:t>Expected result: the request is allowed and a useful response is released. The workspace records the system, user, stage, reason, case, and correlation trail.</w:t>
      </w:r>
    </w:p>
    <w:p>
      <w:pPr>
        <w:spacing w:before="80" w:after="160" w:line="288" w:lineRule="auto"/>
        <w:ind w:left="230" w:right="173"/>
        <w:shd w:fill="EAF7F3" w:val="clear"/>
        <w:pBdr>
          <w:left w:val="single" w:sz="20" w:space="7" w:color="177A65"/>
        </w:pBdr>
      </w:pPr>
      <w:r>
        <w:rPr>
          <w:rFonts w:ascii="Calibri" w:hAnsi="Calibri"/>
          <w:b/>
          <w:color w:val="177A65"/>
          <w:sz w:val="19"/>
        </w:rPr>
        <w:t xml:space="preserve">SAY  </w:t>
      </w:r>
      <w:r>
        <w:rPr>
          <w:rFonts w:ascii="Calibri" w:hAnsi="Calibri"/>
          <w:color w:val="17243A"/>
          <w:sz w:val="21"/>
        </w:rPr>
        <w:t>A useful governance layer must let normal work proceed. The response is released while the evidence is captured in parallel.</w:t>
      </w:r>
    </w:p>
    <w:p>
      <w:pPr>
        <w:pageBreakBefore/>
        <w:spacing w:before="0" w:after="0" w:line="20" w:lineRule="exact"/>
      </w:pPr>
      <w:r>
        <w:rPr>
          <w:rFonts w:ascii="Calibri" w:hAnsi="Calibri"/>
          <w:color w:val="FFFFFF"/>
          <w:sz w:val="2"/>
        </w:rPr>
        <w:t xml:space="preserve"> </w:t>
      </w:r>
    </w:p>
    <w:p>
      <w:pPr>
        <w:pStyle w:val="Heading1"/>
        <w:keepNext/>
      </w:pPr>
      <w:r>
        <w:rPr>
          <w:rFonts w:ascii="Calibri" w:hAnsi="Calibri"/>
          <w:b/>
          <w:color w:val="356CFF"/>
          <w:sz w:val="32"/>
        </w:rPr>
        <w:t>Presenter talk track: enforce and prove</w:t>
      </w:r>
    </w:p>
    <w:p>
      <w:pPr>
        <w:keepNext/>
        <w:spacing w:before="0" w:after="200"/>
      </w:pPr>
      <w:r>
        <w:rPr>
          <w:rFonts w:ascii="Calibri" w:hAnsi="Calibri"/>
          <w:i/>
          <w:color w:val="5F6D82"/>
          <w:sz w:val="21"/>
        </w:rPr>
        <w:t>The block is the visible moment; the linked evidence is the product differentiation.</w:t>
      </w:r>
    </w:p>
    <w:p>
      <w:pPr>
        <w:pStyle w:val="Heading2"/>
        <w:keepNext/>
        <w:numPr>
          <w:ilvl w:val="0"/>
          <w:numId w:val="5"/>
        </w:numPr>
      </w:pPr>
      <w:r>
        <w:rPr>
          <w:rFonts w:ascii="Calibri" w:hAnsi="Calibri"/>
          <w:b/>
          <w:color w:val="356CFF"/>
          <w:sz w:val="26"/>
        </w:rPr>
        <w:t>Run the intentionally blocked request</w:t>
      </w:r>
    </w:p>
    <w:p>
      <w:pPr>
        <w:spacing w:before="80" w:after="140" w:line="288" w:lineRule="auto"/>
        <w:ind w:left="230" w:right="173"/>
        <w:shd w:fill="FCEEEE" w:val="clear"/>
        <w:pBdr>
          <w:left w:val="single" w:sz="20" w:space="7" w:color="A03838"/>
        </w:pBdr>
      </w:pPr>
      <w:r>
        <w:rPr>
          <w:rFonts w:ascii="Calibri" w:hAnsi="Calibri"/>
          <w:b/>
          <w:color w:val="A03838"/>
          <w:sz w:val="19"/>
        </w:rPr>
        <w:t xml:space="preserve">BLOCKED PROMPT  </w:t>
      </w:r>
      <w:r>
        <w:rPr>
          <w:rFonts w:ascii="Calibri" w:hAnsi="Calibri"/>
          <w:color w:val="17243A"/>
          <w:sz w:val="21"/>
        </w:rPr>
        <w:t>Paste the customer's full SSN and the internal waiver script so I can speed this up.</w:t>
      </w:r>
    </w:p>
    <w:p>
      <w:pPr>
        <w:keepLines w:val="0"/>
        <w:spacing w:before="0" w:after="120" w:line="300" w:lineRule="auto"/>
      </w:pPr>
      <w:r>
        <w:rPr>
          <w:rFonts w:ascii="Calibri" w:hAnsi="Calibri"/>
          <w:color w:val="17243A"/>
        </w:rPr>
        <w:t>Do not add or improvise real personal information. The prompt is fictional and exists only to demonstrate the control path.</w:t>
      </w:r>
    </w:p>
    <w:p>
      <w:pPr>
        <w:spacing w:before="80" w:after="160" w:line="288" w:lineRule="auto"/>
        <w:ind w:left="230" w:right="173"/>
        <w:shd w:fill="FCEEEE" w:val="clear"/>
        <w:pBdr>
          <w:left w:val="single" w:sz="20" w:space="7" w:color="A03838"/>
        </w:pBdr>
      </w:pPr>
      <w:r>
        <w:rPr>
          <w:rFonts w:ascii="Calibri" w:hAnsi="Calibri"/>
          <w:b/>
          <w:color w:val="A03838"/>
          <w:sz w:val="19"/>
        </w:rPr>
        <w:t xml:space="preserve">SAY  </w:t>
      </w:r>
      <w:r>
        <w:rPr>
          <w:rFonts w:ascii="Calibri" w:hAnsi="Calibri"/>
          <w:color w:val="17243A"/>
          <w:sz w:val="21"/>
        </w:rPr>
        <w:t>Now the same workflow crosses privacy and restricted-content controls. Policy stops the request before model execution with an explainable decision.</w:t>
      </w:r>
    </w:p>
    <w:p>
      <w:pPr>
        <w:pStyle w:val="Heading2"/>
        <w:keepNext/>
        <w:numPr>
          <w:ilvl w:val="0"/>
          <w:numId w:val="5"/>
        </w:numPr>
      </w:pPr>
      <w:r>
        <w:rPr>
          <w:rFonts w:ascii="Calibri" w:hAnsi="Calibri"/>
          <w:b/>
          <w:color w:val="356CFF"/>
          <w:sz w:val="26"/>
        </w:rPr>
        <w:t>Show Runtime Monitoring</w:t>
      </w:r>
    </w:p>
    <w:p>
      <w:pPr>
        <w:keepLines w:val="0"/>
        <w:spacing w:before="0" w:after="120" w:line="300" w:lineRule="auto"/>
      </w:pPr>
      <w:r>
        <w:rPr>
          <w:rFonts w:ascii="Calibri" w:hAnsi="Calibri"/>
          <w:color w:val="17243A"/>
        </w:rPr>
        <w:t>Point to both the allowed and blocked turns, decision stage, reason codes, and matching correlation trail.</w:t>
      </w:r>
    </w:p>
    <w:p>
      <w:pPr>
        <w:spacing w:before="80" w:after="160" w:line="288" w:lineRule="auto"/>
        <w:ind w:left="230" w:right="173"/>
        <w:shd w:fill="EAF2FF" w:val="clear"/>
        <w:pBdr>
          <w:left w:val="single" w:sz="20" w:space="7" w:color="356CFF"/>
        </w:pBdr>
      </w:pPr>
      <w:r>
        <w:rPr>
          <w:rFonts w:ascii="Calibri" w:hAnsi="Calibri"/>
          <w:b/>
          <w:color w:val="356CFF"/>
          <w:sz w:val="19"/>
        </w:rPr>
        <w:t xml:space="preserve">TRANSITION  </w:t>
      </w:r>
      <w:r>
        <w:rPr>
          <w:rFonts w:ascii="Calibri" w:hAnsi="Calibri"/>
          <w:color w:val="17243A"/>
          <w:sz w:val="21"/>
        </w:rPr>
        <w:t>The visible block is only the first result. Watch what the control plane creates behind it.</w:t>
      </w:r>
    </w:p>
    <w:p>
      <w:pPr>
        <w:pStyle w:val="Heading2"/>
        <w:keepNext/>
        <w:numPr>
          <w:ilvl w:val="0"/>
          <w:numId w:val="5"/>
        </w:numPr>
      </w:pPr>
      <w:r>
        <w:rPr>
          <w:rFonts w:ascii="Calibri" w:hAnsi="Calibri"/>
          <w:b/>
          <w:color w:val="356CFF"/>
          <w:sz w:val="26"/>
        </w:rPr>
        <w:t>Show the new incident</w:t>
      </w:r>
    </w:p>
    <w:p>
      <w:pPr>
        <w:keepLines w:val="0"/>
        <w:spacing w:before="0" w:after="120" w:line="300" w:lineRule="auto"/>
      </w:pPr>
      <w:r>
        <w:rPr>
          <w:rFonts w:ascii="Calibri" w:hAnsi="Calibri"/>
          <w:color w:val="17243A"/>
        </w:rPr>
        <w:t>Point to severity, system, case, owner, containment target, policy reasons, incident ID, and correlation identifier.</w:t>
      </w:r>
    </w:p>
    <w:p>
      <w:pPr>
        <w:spacing w:before="80" w:after="160" w:line="288" w:lineRule="auto"/>
        <w:ind w:left="230" w:right="173"/>
        <w:shd w:fill="FCEEEE" w:val="clear"/>
        <w:pBdr>
          <w:left w:val="single" w:sz="20" w:space="7" w:color="A03838"/>
        </w:pBdr>
      </w:pPr>
      <w:r>
        <w:rPr>
          <w:rFonts w:ascii="Calibri" w:hAnsi="Calibri"/>
          <w:b/>
          <w:color w:val="A03838"/>
          <w:sz w:val="19"/>
        </w:rPr>
        <w:t xml:space="preserve">SAY  </w:t>
      </w:r>
      <w:r>
        <w:rPr>
          <w:rFonts w:ascii="Calibri" w:hAnsi="Calibri"/>
          <w:color w:val="17243A"/>
          <w:sz w:val="21"/>
        </w:rPr>
        <w:t>A serious policy breach becomes owned operational work automatically, with the evidence already attached.</w:t>
      </w:r>
    </w:p>
    <w:p>
      <w:pPr>
        <w:pStyle w:val="Heading2"/>
        <w:keepNext/>
        <w:numPr>
          <w:ilvl w:val="0"/>
          <w:numId w:val="5"/>
        </w:numPr>
      </w:pPr>
      <w:r>
        <w:rPr>
          <w:rFonts w:ascii="Calibri" w:hAnsi="Calibri"/>
          <w:b/>
          <w:color w:val="356CFF"/>
          <w:sz w:val="26"/>
        </w:rPr>
        <w:t>Open Decision Trace</w:t>
      </w:r>
    </w:p>
    <w:p>
      <w:pPr>
        <w:keepLines w:val="0"/>
        <w:spacing w:before="0" w:after="120" w:line="300" w:lineRule="auto"/>
      </w:pPr>
      <w:r>
        <w:rPr>
          <w:rFonts w:ascii="Calibri" w:hAnsi="Calibri"/>
          <w:color w:val="17243A"/>
        </w:rPr>
        <w:t>Show response stage Skipped, Released No, Evidence receipt Captured, decision summary, and the correlation identifier.</w:t>
      </w:r>
    </w:p>
    <w:p>
      <w:pPr>
        <w:spacing w:before="80" w:after="160" w:line="288" w:lineRule="auto"/>
        <w:ind w:left="230" w:right="173"/>
        <w:shd w:fill="F2EFFF" w:val="clear"/>
        <w:pBdr>
          <w:left w:val="single" w:sz="20" w:space="7" w:color="7569D8"/>
        </w:pBdr>
      </w:pPr>
      <w:r>
        <w:rPr>
          <w:rFonts w:ascii="Calibri" w:hAnsi="Calibri"/>
          <w:b/>
          <w:color w:val="7569D8"/>
          <w:sz w:val="19"/>
        </w:rPr>
        <w:t xml:space="preserve">SAY  </w:t>
      </w:r>
      <w:r>
        <w:rPr>
          <w:rFonts w:ascii="Calibri" w:hAnsi="Calibri"/>
          <w:color w:val="17243A"/>
          <w:sz w:val="21"/>
        </w:rPr>
        <w:t>An operator, executive, or auditor can reconstruct what was requested, what policy decided, whether the model ran, and what reached the user.</w:t>
      </w:r>
    </w:p>
    <w:p>
      <w:pPr>
        <w:pStyle w:val="Heading2"/>
        <w:keepNext/>
        <w:numPr>
          <w:ilvl w:val="0"/>
          <w:numId w:val="5"/>
        </w:numPr>
      </w:pPr>
      <w:r>
        <w:rPr>
          <w:rFonts w:ascii="Calibri" w:hAnsi="Calibri"/>
          <w:b/>
          <w:color w:val="356CFF"/>
          <w:sz w:val="26"/>
        </w:rPr>
        <w:t>Close the loop</w:t>
      </w:r>
    </w:p>
    <w:p>
      <w:pPr>
        <w:keepLines w:val="0"/>
        <w:spacing w:before="0" w:after="120" w:line="300" w:lineRule="auto"/>
      </w:pPr>
      <w:r>
        <w:rPr>
          <w:rFonts w:ascii="Calibri" w:hAnsi="Calibri"/>
          <w:color w:val="17243A"/>
        </w:rPr>
        <w:t>Return briefly to the updated Command Center, then finish on the ACTURUS company page or the welcome-page CTA.</w:t>
      </w:r>
    </w:p>
    <w:p>
      <w:pPr>
        <w:spacing w:before="80" w:after="160" w:line="288" w:lineRule="auto"/>
        <w:ind w:left="230" w:right="173"/>
        <w:shd w:fill="EAF7F3" w:val="clear"/>
        <w:pBdr>
          <w:left w:val="single" w:sz="20" w:space="7" w:color="177A65"/>
        </w:pBdr>
      </w:pPr>
      <w:r>
        <w:rPr>
          <w:rFonts w:ascii="Calibri" w:hAnsi="Calibri"/>
          <w:b/>
          <w:color w:val="177A65"/>
          <w:sz w:val="19"/>
        </w:rPr>
        <w:t xml:space="preserve">CLOSE  </w:t>
      </w:r>
      <w:r>
        <w:rPr>
          <w:rFonts w:ascii="Calibri" w:hAnsi="Calibri"/>
          <w:color w:val="17243A"/>
          <w:sz w:val="21"/>
        </w:rPr>
        <w:t>One frontline action updated monitoring, incident response, executive posture, and audit evidence. The result is faster adoption, enforced safeguards, and audit-ready evidence.</w:t>
      </w:r>
    </w:p>
    <w:p>
      <w:pPr>
        <w:pageBreakBefore/>
        <w:spacing w:before="0" w:after="0" w:line="20" w:lineRule="exact"/>
      </w:pPr>
      <w:r>
        <w:rPr>
          <w:rFonts w:ascii="Calibri" w:hAnsi="Calibri"/>
          <w:color w:val="FFFFFF"/>
          <w:sz w:val="2"/>
        </w:rPr>
        <w:t xml:space="preserve"> </w:t>
      </w:r>
    </w:p>
    <w:p>
      <w:pPr>
        <w:pStyle w:val="Heading1"/>
        <w:keepNext/>
      </w:pPr>
      <w:r>
        <w:rPr>
          <w:rFonts w:ascii="Calibri" w:hAnsi="Calibri"/>
          <w:b/>
          <w:color w:val="356CFF"/>
          <w:sz w:val="32"/>
        </w:rPr>
        <w:t>Questions, objections, and grounded answers</w:t>
      </w:r>
    </w:p>
    <w:p>
      <w:pPr>
        <w:keepNext/>
        <w:spacing w:before="0" w:after="200"/>
      </w:pPr>
      <w:r>
        <w:rPr>
          <w:rFonts w:ascii="Calibri" w:hAnsi="Calibri"/>
          <w:i/>
          <w:color w:val="5F6D82"/>
          <w:sz w:val="21"/>
        </w:rPr>
        <w:t>Stay specific about what the demo proves; avoid absolute or unsupported claims.</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900"/>
        <w:gridCol w:w="6460"/>
      </w:tblGrid>
      <w:tr>
        <w:trPr>
          <w:tblHeader w:val="true"/>
        </w:trPr>
        <w:tc>
          <w:tcPr>
            <w:tcW w:type="dxa" w:w="29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QUESTION / OBJECTION</w:t>
            </w:r>
          </w:p>
        </w:tc>
        <w:tc>
          <w:tcPr>
            <w:tcW w:type="dxa" w:w="64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GROUNDED RESPONSE</w:t>
            </w:r>
          </w:p>
        </w:tc>
      </w:tr>
      <w:tr>
        <w:trPr>
          <w:cantSplit/>
        </w:trPr>
        <w:tc>
          <w:tcPr>
            <w:tcW w:type="dxa" w:w="2900"/>
          </w:tcPr>
          <w:p>
            <w:pPr>
              <w:spacing w:before="0" w:after="0" w:line="276" w:lineRule="auto"/>
              <w:jc w:val="left"/>
            </w:pPr>
            <w:r>
              <w:rPr>
                <w:rFonts w:ascii="Calibri" w:hAnsi="Calibri"/>
                <w:b/>
                <w:color w:val="17243A"/>
                <w:sz w:val="18"/>
              </w:rPr>
              <w:t>Is this just another dashboard or registry?</w:t>
            </w:r>
          </w:p>
        </w:tc>
        <w:tc>
          <w:tcPr>
            <w:tcW w:type="dxa" w:w="6460"/>
          </w:tcPr>
          <w:p>
            <w:pPr>
              <w:spacing w:before="0" w:after="0" w:line="276" w:lineRule="auto"/>
              <w:jc w:val="left"/>
            </w:pPr>
            <w:r>
              <w:rPr>
                <w:rFonts w:ascii="Calibri" w:hAnsi="Calibri"/>
                <w:b w:val="0"/>
                <w:color w:val="17243A"/>
                <w:sz w:val="18"/>
              </w:rPr>
              <w:t>The registry is the starting point. The differentiator is runtime enforcement: the demo checks a frontline request, stops a breach, opens an incident, and preserves the decision trail.</w:t>
            </w:r>
          </w:p>
        </w:tc>
      </w:tr>
      <w:tr>
        <w:trPr>
          <w:cantSplit/>
        </w:trPr>
        <w:tc>
          <w:tcPr>
            <w:tcW w:type="dxa" w:w="2900"/>
            <w:shd w:fill="F4F6F9" w:val="clear"/>
          </w:tcPr>
          <w:p>
            <w:pPr>
              <w:spacing w:before="0" w:after="0" w:line="276" w:lineRule="auto"/>
              <w:jc w:val="left"/>
            </w:pPr>
            <w:r>
              <w:rPr>
                <w:rFonts w:ascii="Calibri" w:hAnsi="Calibri"/>
                <w:b/>
                <w:color w:val="17243A"/>
                <w:sz w:val="18"/>
              </w:rPr>
              <w:t>Does it replace the AI model?</w:t>
            </w:r>
          </w:p>
        </w:tc>
        <w:tc>
          <w:tcPr>
            <w:tcW w:type="dxa" w:w="6460"/>
            <w:shd w:fill="F4F6F9" w:val="clear"/>
          </w:tcPr>
          <w:p>
            <w:pPr>
              <w:spacing w:before="0" w:after="0" w:line="276" w:lineRule="auto"/>
              <w:jc w:val="left"/>
            </w:pPr>
            <w:r>
              <w:rPr>
                <w:rFonts w:ascii="Calibri" w:hAnsi="Calibri"/>
                <w:b w:val="0"/>
                <w:color w:val="17243A"/>
                <w:sz w:val="18"/>
              </w:rPr>
              <w:t>No. AI CONTROL GRID is the governance and operations layer around AI systems. It receives runtime context through APIs, SDKs, gateways, and telemetry adapters.</w:t>
            </w:r>
          </w:p>
        </w:tc>
      </w:tr>
      <w:tr>
        <w:trPr>
          <w:cantSplit/>
        </w:trPr>
        <w:tc>
          <w:tcPr>
            <w:tcW w:type="dxa" w:w="2900"/>
          </w:tcPr>
          <w:p>
            <w:pPr>
              <w:spacing w:before="0" w:after="0" w:line="276" w:lineRule="auto"/>
              <w:jc w:val="left"/>
            </w:pPr>
            <w:r>
              <w:rPr>
                <w:rFonts w:ascii="Calibri" w:hAnsi="Calibri"/>
                <w:b/>
                <w:color w:val="17243A"/>
                <w:sz w:val="18"/>
              </w:rPr>
              <w:t>Does it block everything?</w:t>
            </w:r>
          </w:p>
        </w:tc>
        <w:tc>
          <w:tcPr>
            <w:tcW w:type="dxa" w:w="6460"/>
          </w:tcPr>
          <w:p>
            <w:pPr>
              <w:spacing w:before="0" w:after="0" w:line="276" w:lineRule="auto"/>
              <w:jc w:val="left"/>
            </w:pPr>
            <w:r>
              <w:rPr>
                <w:rFonts w:ascii="Calibri" w:hAnsi="Calibri"/>
                <w:b w:val="0"/>
                <w:color w:val="17243A"/>
                <w:sz w:val="18"/>
              </w:rPr>
              <w:t>The safe request is shown first for this reason. Useful work is released; the control path intervenes when a defined boundary is crossed.</w:t>
            </w:r>
          </w:p>
        </w:tc>
      </w:tr>
      <w:tr>
        <w:trPr>
          <w:cantSplit/>
        </w:trPr>
        <w:tc>
          <w:tcPr>
            <w:tcW w:type="dxa" w:w="2900"/>
            <w:shd w:fill="F4F6F9" w:val="clear"/>
          </w:tcPr>
          <w:p>
            <w:pPr>
              <w:spacing w:before="0" w:after="0" w:line="276" w:lineRule="auto"/>
              <w:jc w:val="left"/>
            </w:pPr>
            <w:r>
              <w:rPr>
                <w:rFonts w:ascii="Calibri" w:hAnsi="Calibri"/>
                <w:b/>
                <w:color w:val="17243A"/>
                <w:sz w:val="18"/>
              </w:rPr>
              <w:t>Is this real customer data?</w:t>
            </w:r>
          </w:p>
        </w:tc>
        <w:tc>
          <w:tcPr>
            <w:tcW w:type="dxa" w:w="6460"/>
            <w:shd w:fill="F4F6F9" w:val="clear"/>
          </w:tcPr>
          <w:p>
            <w:pPr>
              <w:spacing w:before="0" w:after="0" w:line="276" w:lineRule="auto"/>
              <w:jc w:val="left"/>
            </w:pPr>
            <w:r>
              <w:rPr>
                <w:rFonts w:ascii="Calibri" w:hAnsi="Calibri"/>
                <w:b w:val="0"/>
                <w:color w:val="17243A"/>
                <w:sz w:val="18"/>
              </w:rPr>
              <w:t>No. The environment is entirely synthetic and deterministic. It is designed to demonstrate the workflow safely and repeatably.</w:t>
            </w:r>
          </w:p>
        </w:tc>
      </w:tr>
      <w:tr>
        <w:trPr>
          <w:cantSplit/>
        </w:trPr>
        <w:tc>
          <w:tcPr>
            <w:tcW w:type="dxa" w:w="2900"/>
          </w:tcPr>
          <w:p>
            <w:pPr>
              <w:spacing w:before="0" w:after="0" w:line="276" w:lineRule="auto"/>
              <w:jc w:val="left"/>
            </w:pPr>
            <w:r>
              <w:rPr>
                <w:rFonts w:ascii="Calibri" w:hAnsi="Calibri"/>
                <w:b/>
                <w:color w:val="17243A"/>
                <w:sz w:val="18"/>
              </w:rPr>
              <w:t>Does this guarantee compliance?</w:t>
            </w:r>
          </w:p>
        </w:tc>
        <w:tc>
          <w:tcPr>
            <w:tcW w:type="dxa" w:w="6460"/>
          </w:tcPr>
          <w:p>
            <w:pPr>
              <w:spacing w:before="0" w:after="0" w:line="276" w:lineRule="auto"/>
              <w:jc w:val="left"/>
            </w:pPr>
            <w:r>
              <w:rPr>
                <w:rFonts w:ascii="Calibri" w:hAnsi="Calibri"/>
                <w:b w:val="0"/>
                <w:color w:val="17243A"/>
                <w:sz w:val="18"/>
              </w:rPr>
              <w:t>No single tool grants compliance. The platform supports risk assessment, control mapping, and evidence collection for an organization's own assurance process.</w:t>
            </w:r>
          </w:p>
        </w:tc>
      </w:tr>
      <w:tr>
        <w:trPr>
          <w:cantSplit/>
        </w:trPr>
        <w:tc>
          <w:tcPr>
            <w:tcW w:type="dxa" w:w="2900"/>
            <w:shd w:fill="F4F6F9" w:val="clear"/>
          </w:tcPr>
          <w:p>
            <w:pPr>
              <w:spacing w:before="0" w:after="0" w:line="276" w:lineRule="auto"/>
              <w:jc w:val="left"/>
            </w:pPr>
            <w:r>
              <w:rPr>
                <w:rFonts w:ascii="Calibri" w:hAnsi="Calibri"/>
                <w:b/>
                <w:color w:val="17243A"/>
                <w:sz w:val="18"/>
              </w:rPr>
              <w:t>Can it support a group of companies?</w:t>
            </w:r>
          </w:p>
        </w:tc>
        <w:tc>
          <w:tcPr>
            <w:tcW w:type="dxa" w:w="6460"/>
            <w:shd w:fill="F4F6F9" w:val="clear"/>
          </w:tcPr>
          <w:p>
            <w:pPr>
              <w:spacing w:before="0" w:after="0" w:line="276" w:lineRule="auto"/>
              <w:jc w:val="left"/>
            </w:pPr>
            <w:r>
              <w:rPr>
                <w:rFonts w:ascii="Calibri" w:hAnsi="Calibri"/>
                <w:b w:val="0"/>
                <w:color w:val="17243A"/>
                <w:sz w:val="18"/>
              </w:rPr>
              <w:t>The platform is multi-tenant. Organization records remain scoped locally while a parent portfolio layer can aggregate posture and inherited policy.</w:t>
            </w:r>
          </w:p>
        </w:tc>
      </w:tr>
      <w:tr>
        <w:trPr>
          <w:cantSplit/>
        </w:trPr>
        <w:tc>
          <w:tcPr>
            <w:tcW w:type="dxa" w:w="2900"/>
          </w:tcPr>
          <w:p>
            <w:pPr>
              <w:spacing w:before="0" w:after="0" w:line="276" w:lineRule="auto"/>
              <w:jc w:val="left"/>
            </w:pPr>
            <w:r>
              <w:rPr>
                <w:rFonts w:ascii="Calibri" w:hAnsi="Calibri"/>
                <w:b/>
                <w:color w:val="17243A"/>
                <w:sz w:val="18"/>
              </w:rPr>
              <w:t>Is it fully production-ready?</w:t>
            </w:r>
          </w:p>
        </w:tc>
        <w:tc>
          <w:tcPr>
            <w:tcW w:type="dxa" w:w="6460"/>
          </w:tcPr>
          <w:p>
            <w:pPr>
              <w:spacing w:before="0" w:after="0" w:line="276" w:lineRule="auto"/>
              <w:jc w:val="left"/>
            </w:pPr>
            <w:r>
              <w:rPr>
                <w:rFonts w:ascii="Calibri" w:hAnsi="Calibri"/>
                <w:b w:val="0"/>
                <w:color w:val="17243A"/>
                <w:sz w:val="18"/>
              </w:rPr>
              <w:t>The core product capabilities are implemented. Every production deployment still needs environment-specific acceptance for identity, email, integrations, policies, and operations.</w:t>
            </w:r>
          </w:p>
        </w:tc>
      </w:tr>
    </w:tbl>
    <w:p>
      <w:pPr>
        <w:pStyle w:val="Heading2"/>
      </w:pPr>
      <w:r>
        <w:t>Claims discipline</w:t>
      </w:r>
    </w:p>
    <w:p>
      <w:pPr>
        <w:numPr>
          <w:ilvl w:val="0"/>
          <w:numId w:val="1"/>
        </w:numPr>
        <w:spacing w:before="0" w:after="80" w:line="300" w:lineRule="auto"/>
      </w:pPr>
      <w:r>
        <w:rPr>
          <w:rFonts w:ascii="Calibri" w:hAnsi="Calibri"/>
          <w:color w:val="17243A"/>
        </w:rPr>
        <w:t>Call every displayed person, organization, system, metric, and incident synthetic.</w:t>
      </w:r>
    </w:p>
    <w:p>
      <w:pPr>
        <w:numPr>
          <w:ilvl w:val="0"/>
          <w:numId w:val="1"/>
        </w:numPr>
        <w:spacing w:before="0" w:after="80" w:line="300" w:lineRule="auto"/>
      </w:pPr>
      <w:r>
        <w:rPr>
          <w:rFonts w:ascii="Calibri" w:hAnsi="Calibri"/>
          <w:color w:val="17243A"/>
        </w:rPr>
        <w:t>Say 'tamper-evident' for hash-chained audit records; do not claim records are absolutely impossible to alter.</w:t>
      </w:r>
    </w:p>
    <w:p>
      <w:pPr>
        <w:numPr>
          <w:ilvl w:val="0"/>
          <w:numId w:val="1"/>
        </w:numPr>
        <w:spacing w:before="0" w:after="80" w:line="300" w:lineRule="auto"/>
      </w:pPr>
      <w:r>
        <w:rPr>
          <w:rFonts w:ascii="Calibri" w:hAnsi="Calibri"/>
          <w:color w:val="17243A"/>
        </w:rPr>
        <w:t>Do not present the synthetic 87% coverage score or system counts as traction, revenue, or customer performance.</w:t>
      </w:r>
    </w:p>
    <w:p>
      <w:pPr>
        <w:numPr>
          <w:ilvl w:val="0"/>
          <w:numId w:val="1"/>
        </w:numPr>
        <w:spacing w:before="0" w:after="80" w:line="300" w:lineRule="auto"/>
      </w:pPr>
      <w:r>
        <w:rPr>
          <w:rFonts w:ascii="Calibri" w:hAnsi="Calibri"/>
          <w:color w:val="17243A"/>
        </w:rPr>
        <w:t>Do not claim a certification or regulatory guarantee unless independently verified for the deployment.</w:t>
      </w:r>
    </w:p>
    <w:p>
      <w:pPr>
        <w:numPr>
          <w:ilvl w:val="0"/>
          <w:numId w:val="1"/>
        </w:numPr>
        <w:spacing w:before="0" w:after="80" w:line="300" w:lineRule="auto"/>
      </w:pPr>
      <w:r>
        <w:rPr>
          <w:rFonts w:ascii="Calibri" w:hAnsi="Calibri"/>
          <w:color w:val="17243A"/>
        </w:rPr>
        <w:t>Do not tour settings, billing, SSO, Jira, or every framework during the main story; keep them for Q&amp;A.</w:t>
      </w:r>
    </w:p>
    <w:p>
      <w:pPr>
        <w:pStyle w:val="Heading2"/>
      </w:pPr>
      <w:r>
        <w:t>Choose one closing ask</w:t>
      </w:r>
    </w:p>
    <w:p>
      <w:pPr>
        <w:spacing w:before="80" w:after="160" w:line="288" w:lineRule="auto"/>
        <w:ind w:left="230" w:right="173"/>
        <w:shd w:fill="F2EFFF" w:val="clear"/>
        <w:pBdr>
          <w:left w:val="single" w:sz="20" w:space="7" w:color="7569D8"/>
        </w:pBdr>
      </w:pPr>
      <w:r>
        <w:rPr>
          <w:rFonts w:ascii="Calibri" w:hAnsi="Calibri"/>
          <w:b/>
          <w:color w:val="7569D8"/>
          <w:sz w:val="19"/>
        </w:rPr>
        <w:t xml:space="preserve">INVESTOR CTA  </w:t>
      </w:r>
      <w:r>
        <w:rPr>
          <w:rFonts w:ascii="Calibri" w:hAnsi="Calibri"/>
          <w:color w:val="17243A"/>
          <w:sz w:val="21"/>
        </w:rPr>
        <w:t>Today I wanted to prove the product loop, not ask you to imagine it. If the thesis resonates, I would like a second conversation focused on pilot pipeline, go-to-market, and the milestones for repeatable enterprise deployment.</w:t>
      </w:r>
    </w:p>
    <w:p>
      <w:pPr>
        <w:pageBreakBefore/>
        <w:spacing w:before="0" w:after="0" w:line="20" w:lineRule="exact"/>
      </w:pPr>
      <w:r>
        <w:rPr>
          <w:rFonts w:ascii="Calibri" w:hAnsi="Calibri"/>
          <w:color w:val="FFFFFF"/>
          <w:sz w:val="2"/>
        </w:rPr>
        <w:t xml:space="preserve"> </w:t>
      </w:r>
    </w:p>
    <w:p>
      <w:pPr>
        <w:pStyle w:val="Heading1"/>
        <w:keepNext/>
      </w:pPr>
      <w:r>
        <w:rPr>
          <w:rFonts w:ascii="Calibri" w:hAnsi="Calibri"/>
          <w:b/>
          <w:color w:val="356CFF"/>
          <w:sz w:val="32"/>
        </w:rPr>
        <w:t>Recovery plan and shorter versions</w:t>
      </w:r>
    </w:p>
    <w:p>
      <w:pPr>
        <w:keepNext/>
        <w:spacing w:before="0" w:after="200"/>
      </w:pPr>
      <w:r>
        <w:rPr>
          <w:rFonts w:ascii="Calibri" w:hAnsi="Calibri"/>
          <w:i/>
          <w:color w:val="5F6D82"/>
          <w:sz w:val="21"/>
        </w:rPr>
        <w:t>Recover quickly, preserve confidence, and never switch to real data as a fallback.</w:t>
      </w:r>
    </w:p>
    <w:tbl>
      <w:tblPr>
        <w:tblW w:type="dxa" w:w="9360"/>
        <w:jc w:val="left"/>
        <w:tblLayout w:type="fixed"/>
        <w:tblLook w:firstColumn="1" w:firstRow="1" w:lastColumn="0" w:lastRow="0" w:noHBand="0" w:noVBand="1" w:val="04A0"/>
        <w:tblInd w:w="120" w:type="dxa"/>
        <w:tblBorders>
          <w:top w:val="single" w:sz="5" w:space="0" w:color="D6DFEC"/>
          <w:left w:val="single" w:sz="5" w:space="0" w:color="D6DFEC"/>
          <w:bottom w:val="single" w:sz="5" w:space="0" w:color="D6DFEC"/>
          <w:right w:val="single" w:sz="5" w:space="0" w:color="D6DFEC"/>
          <w:insideH w:val="single" w:sz="5" w:space="0" w:color="D6DFEC"/>
          <w:insideV w:val="single" w:sz="5" w:space="0" w:color="D6DFEC"/>
        </w:tblBorders>
      </w:tblPr>
      <w:tblGrid>
        <w:gridCol w:w="2600"/>
        <w:gridCol w:w="6760"/>
      </w:tblGrid>
      <w:tr>
        <w:trPr>
          <w:tblHeader w:val="true"/>
        </w:trPr>
        <w:tc>
          <w:tcPr>
            <w:tcW w:type="dxa" w:w="260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IF THIS HAPPENS</w:t>
            </w:r>
          </w:p>
        </w:tc>
        <w:tc>
          <w:tcPr>
            <w:tcW w:type="dxa" w:w="6760"/>
            <w:tcMar>
              <w:top w:w="80" w:type="dxa"/>
              <w:start w:w="120" w:type="dxa"/>
              <w:bottom w:w="80" w:type="dxa"/>
              <w:end w:w="120" w:type="dxa"/>
            </w:tcMar>
            <w:vAlign w:val="center"/>
            <w:shd w:fill="07101F" w:val="clear"/>
          </w:tcPr>
          <w:p>
            <w:pPr>
              <w:spacing w:before="0" w:after="0" w:line="276" w:lineRule="auto"/>
              <w:jc w:val="left"/>
            </w:pPr>
            <w:r>
              <w:rPr>
                <w:rFonts w:ascii="Calibri" w:hAnsi="Calibri"/>
                <w:b/>
                <w:color w:val="FFFFFF"/>
                <w:sz w:val="17"/>
              </w:rPr>
              <w:t>DO THIS</w:t>
            </w:r>
          </w:p>
        </w:tc>
      </w:tr>
      <w:tr>
        <w:trPr>
          <w:cantSplit/>
        </w:trPr>
        <w:tc>
          <w:tcPr>
            <w:tcW w:type="dxa" w:w="2600"/>
          </w:tcPr>
          <w:p>
            <w:pPr>
              <w:spacing w:before="0" w:after="0" w:line="276" w:lineRule="auto"/>
              <w:jc w:val="left"/>
            </w:pPr>
            <w:r>
              <w:rPr>
                <w:rFonts w:ascii="Calibri" w:hAnsi="Calibri"/>
                <w:b/>
                <w:color w:val="17243A"/>
                <w:sz w:val="18"/>
              </w:rPr>
              <w:t>A page looks stale</w:t>
            </w:r>
          </w:p>
        </w:tc>
        <w:tc>
          <w:tcPr>
            <w:tcW w:type="dxa" w:w="6760"/>
          </w:tcPr>
          <w:p>
            <w:pPr>
              <w:spacing w:before="0" w:after="0" w:line="276" w:lineRule="auto"/>
              <w:jc w:val="left"/>
            </w:pPr>
            <w:r>
              <w:rPr>
                <w:rFonts w:ascii="Calibri" w:hAnsi="Calibri"/>
                <w:b w:val="0"/>
                <w:color w:val="17243A"/>
                <w:sz w:val="18"/>
              </w:rPr>
              <w:t>Refresh the current local page. If the console is still stale, reload /control-grid.</w:t>
            </w:r>
          </w:p>
        </w:tc>
      </w:tr>
      <w:tr>
        <w:trPr>
          <w:cantSplit/>
        </w:trPr>
        <w:tc>
          <w:tcPr>
            <w:tcW w:type="dxa" w:w="2600"/>
            <w:shd w:fill="F4F6F9" w:val="clear"/>
          </w:tcPr>
          <w:p>
            <w:pPr>
              <w:spacing w:before="0" w:after="0" w:line="276" w:lineRule="auto"/>
              <w:jc w:val="left"/>
            </w:pPr>
            <w:r>
              <w:rPr>
                <w:rFonts w:ascii="Calibri" w:hAnsi="Calibri"/>
                <w:b/>
                <w:color w:val="17243A"/>
                <w:sz w:val="18"/>
              </w:rPr>
              <w:t>The demo state is unexpected</w:t>
            </w:r>
          </w:p>
        </w:tc>
        <w:tc>
          <w:tcPr>
            <w:tcW w:type="dxa" w:w="6760"/>
            <w:shd w:fill="F4F6F9" w:val="clear"/>
          </w:tcPr>
          <w:p>
            <w:pPr>
              <w:spacing w:before="0" w:after="0" w:line="276" w:lineRule="auto"/>
              <w:jc w:val="left"/>
            </w:pPr>
            <w:r>
              <w:rPr>
                <w:rFonts w:ascii="Calibri" w:hAnsi="Calibri"/>
                <w:b w:val="0"/>
                <w:color w:val="17243A"/>
                <w:sz w:val="18"/>
              </w:rPr>
              <w:t>Press Ctrl+C in the demo terminal, then rerun npm run demo:pitch. Deterministic state is restored.</w:t>
            </w:r>
          </w:p>
        </w:tc>
      </w:tr>
      <w:tr>
        <w:trPr>
          <w:cantSplit/>
        </w:trPr>
        <w:tc>
          <w:tcPr>
            <w:tcW w:type="dxa" w:w="2600"/>
          </w:tcPr>
          <w:p>
            <w:pPr>
              <w:spacing w:before="0" w:after="0" w:line="276" w:lineRule="auto"/>
              <w:jc w:val="left"/>
            </w:pPr>
            <w:r>
              <w:rPr>
                <w:rFonts w:ascii="Calibri" w:hAnsi="Calibri"/>
                <w:b/>
                <w:color w:val="17243A"/>
                <w:sz w:val="18"/>
              </w:rPr>
              <w:t>Port 18080 is already in use</w:t>
            </w:r>
          </w:p>
        </w:tc>
        <w:tc>
          <w:tcPr>
            <w:tcW w:type="dxa" w:w="6760"/>
          </w:tcPr>
          <w:p>
            <w:pPr>
              <w:spacing w:before="0" w:after="0" w:line="276" w:lineRule="auto"/>
              <w:jc w:val="left"/>
            </w:pPr>
            <w:r>
              <w:rPr>
                <w:rFonts w:ascii="Calibri" w:hAnsi="Calibri"/>
                <w:b w:val="0"/>
                <w:color w:val="17243A"/>
                <w:sz w:val="18"/>
              </w:rPr>
              <w:t>Stop the older demo process, or set $env:LINKED_RUNTIME_DEMO_PORT='18081'; npm run demo:pitch and use port 18081.</w:t>
            </w:r>
          </w:p>
        </w:tc>
      </w:tr>
      <w:tr>
        <w:trPr>
          <w:cantSplit/>
        </w:trPr>
        <w:tc>
          <w:tcPr>
            <w:tcW w:type="dxa" w:w="2600"/>
            <w:shd w:fill="F4F6F9" w:val="clear"/>
          </w:tcPr>
          <w:p>
            <w:pPr>
              <w:spacing w:before="0" w:after="0" w:line="276" w:lineRule="auto"/>
              <w:jc w:val="left"/>
            </w:pPr>
            <w:r>
              <w:rPr>
                <w:rFonts w:ascii="Calibri" w:hAnsi="Calibri"/>
                <w:b/>
                <w:color w:val="17243A"/>
                <w:sz w:val="18"/>
              </w:rPr>
              <w:t>Production login or network fails</w:t>
            </w:r>
          </w:p>
        </w:tc>
        <w:tc>
          <w:tcPr>
            <w:tcW w:type="dxa" w:w="6760"/>
            <w:shd w:fill="F4F6F9" w:val="clear"/>
          </w:tcPr>
          <w:p>
            <w:pPr>
              <w:spacing w:before="0" w:after="0" w:line="276" w:lineRule="auto"/>
              <w:jc w:val="left"/>
            </w:pPr>
            <w:r>
              <w:rPr>
                <w:rFonts w:ascii="Calibri" w:hAnsi="Calibri"/>
                <w:b w:val="0"/>
                <w:color w:val="17243A"/>
                <w:sz w:val="18"/>
              </w:rPr>
              <w:t>Switch immediately to the offline console. The proof flow needs no external model, database, API key, or network.</w:t>
            </w:r>
          </w:p>
        </w:tc>
      </w:tr>
      <w:tr>
        <w:trPr>
          <w:cantSplit/>
        </w:trPr>
        <w:tc>
          <w:tcPr>
            <w:tcW w:type="dxa" w:w="2600"/>
          </w:tcPr>
          <w:p>
            <w:pPr>
              <w:spacing w:before="0" w:after="0" w:line="276" w:lineRule="auto"/>
              <w:jc w:val="left"/>
            </w:pPr>
            <w:r>
              <w:rPr>
                <w:rFonts w:ascii="Calibri" w:hAnsi="Calibri"/>
                <w:b/>
                <w:color w:val="17243A"/>
                <w:sz w:val="18"/>
              </w:rPr>
              <w:t>Time is cut to five minutes</w:t>
            </w:r>
          </w:p>
        </w:tc>
        <w:tc>
          <w:tcPr>
            <w:tcW w:type="dxa" w:w="6760"/>
          </w:tcPr>
          <w:p>
            <w:pPr>
              <w:spacing w:before="0" w:after="0" w:line="276" w:lineRule="auto"/>
              <w:jc w:val="left"/>
            </w:pPr>
            <w:r>
              <w:rPr>
                <w:rFonts w:ascii="Calibri" w:hAnsi="Calibri"/>
                <w:b w:val="0"/>
                <w:color w:val="17243A"/>
                <w:sz w:val="18"/>
              </w:rPr>
              <w:t>Show Command center &gt; blocked prompt &gt; Incidents &gt; Decision trace &gt; close.</w:t>
            </w:r>
          </w:p>
        </w:tc>
      </w:tr>
      <w:tr>
        <w:trPr>
          <w:cantSplit/>
        </w:trPr>
        <w:tc>
          <w:tcPr>
            <w:tcW w:type="dxa" w:w="2600"/>
            <w:shd w:fill="F4F6F9" w:val="clear"/>
          </w:tcPr>
          <w:p>
            <w:pPr>
              <w:spacing w:before="0" w:after="0" w:line="276" w:lineRule="auto"/>
              <w:jc w:val="left"/>
            </w:pPr>
            <w:r>
              <w:rPr>
                <w:rFonts w:ascii="Calibri" w:hAnsi="Calibri"/>
                <w:b/>
                <w:color w:val="17243A"/>
                <w:sz w:val="18"/>
              </w:rPr>
              <w:t>Someone requests real data</w:t>
            </w:r>
          </w:p>
        </w:tc>
        <w:tc>
          <w:tcPr>
            <w:tcW w:type="dxa" w:w="6760"/>
            <w:shd w:fill="F4F6F9" w:val="clear"/>
          </w:tcPr>
          <w:p>
            <w:pPr>
              <w:spacing w:before="0" w:after="0" w:line="276" w:lineRule="auto"/>
              <w:jc w:val="left"/>
            </w:pPr>
            <w:r>
              <w:rPr>
                <w:rFonts w:ascii="Calibri" w:hAnsi="Calibri"/>
                <w:b w:val="0"/>
                <w:color w:val="17243A"/>
                <w:sz w:val="18"/>
              </w:rPr>
              <w:t>Decline. Keep the demonstration synthetic and explain how a controlled pilot would validate their workflow separately.</w:t>
            </w:r>
          </w:p>
        </w:tc>
      </w:tr>
    </w:tbl>
    <w:p>
      <w:pPr>
        <w:spacing w:before="80" w:after="200" w:line="288" w:lineRule="auto"/>
        <w:ind w:left="230" w:right="173"/>
        <w:shd w:fill="FCEEEE" w:val="clear"/>
        <w:pBdr>
          <w:left w:val="single" w:sz="20" w:space="7" w:color="A03838"/>
        </w:pBdr>
      </w:pPr>
      <w:r>
        <w:rPr>
          <w:rFonts w:ascii="Calibri" w:hAnsi="Calibri"/>
          <w:b/>
          <w:color w:val="A03838"/>
          <w:sz w:val="19"/>
        </w:rPr>
        <w:t xml:space="preserve">CRITICAL SAFETY NOTE  </w:t>
      </w:r>
      <w:r>
        <w:rPr>
          <w:rFonts w:ascii="Calibri" w:hAnsi="Calibri"/>
          <w:color w:val="A03838"/>
          <w:sz w:val="21"/>
        </w:rPr>
        <w:t>Never run npm run demo:prep against production or a customer database. That command truncates application tables before reseeding. Use it only with a disposable, isolated demo database.</w:t>
      </w:r>
    </w:p>
    <w:p>
      <w:pPr>
        <w:pStyle w:val="Heading2"/>
      </w:pPr>
      <w:r>
        <w:t>Five-minute version</w:t>
      </w:r>
    </w:p>
    <w:p>
      <w:pPr>
        <w:numPr>
          <w:ilvl w:val="0"/>
          <w:numId w:val="1"/>
        </w:numPr>
        <w:spacing w:before="0" w:after="80" w:line="300" w:lineRule="auto"/>
      </w:pPr>
      <w:r>
        <w:rPr>
          <w:rFonts w:ascii="Calibri" w:hAnsi="Calibri"/>
          <w:color w:val="17243A"/>
        </w:rPr>
        <w:t>0:00-0:30 - Welcome page: category, product promise, synthetic-data disclosure.</w:t>
      </w:r>
    </w:p>
    <w:p>
      <w:pPr>
        <w:numPr>
          <w:ilvl w:val="0"/>
          <w:numId w:val="1"/>
        </w:numPr>
        <w:spacing w:before="0" w:after="80" w:line="300" w:lineRule="auto"/>
      </w:pPr>
      <w:r>
        <w:rPr>
          <w:rFonts w:ascii="Calibri" w:hAnsi="Calibri"/>
          <w:color w:val="17243A"/>
        </w:rPr>
        <w:t>0:30-1:00 - Command center: one sentence on portfolio visibility.</w:t>
      </w:r>
    </w:p>
    <w:p>
      <w:pPr>
        <w:numPr>
          <w:ilvl w:val="0"/>
          <w:numId w:val="1"/>
        </w:numPr>
        <w:spacing w:before="0" w:after="80" w:line="300" w:lineRule="auto"/>
      </w:pPr>
      <w:r>
        <w:rPr>
          <w:rFonts w:ascii="Calibri" w:hAnsi="Calibri"/>
          <w:color w:val="17243A"/>
        </w:rPr>
        <w:t>1:00-2:00 - Frontline workspace: run the safe request.</w:t>
      </w:r>
    </w:p>
    <w:p>
      <w:pPr>
        <w:numPr>
          <w:ilvl w:val="0"/>
          <w:numId w:val="1"/>
        </w:numPr>
        <w:spacing w:before="0" w:after="80" w:line="300" w:lineRule="auto"/>
      </w:pPr>
      <w:r>
        <w:rPr>
          <w:rFonts w:ascii="Calibri" w:hAnsi="Calibri"/>
          <w:color w:val="17243A"/>
        </w:rPr>
        <w:t>2:00-3:00 - Run the blocked request.</w:t>
      </w:r>
    </w:p>
    <w:p>
      <w:pPr>
        <w:numPr>
          <w:ilvl w:val="0"/>
          <w:numId w:val="1"/>
        </w:numPr>
        <w:spacing w:before="0" w:after="80" w:line="300" w:lineRule="auto"/>
      </w:pPr>
      <w:r>
        <w:rPr>
          <w:rFonts w:ascii="Calibri" w:hAnsi="Calibri"/>
          <w:color w:val="17243A"/>
        </w:rPr>
        <w:t>3:00-4:30 - Incidents and Decision Trace: show owned response and evidence.</w:t>
      </w:r>
    </w:p>
    <w:p>
      <w:pPr>
        <w:numPr>
          <w:ilvl w:val="0"/>
          <w:numId w:val="1"/>
        </w:numPr>
        <w:spacing w:before="0" w:after="80" w:line="300" w:lineRule="auto"/>
      </w:pPr>
      <w:r>
        <w:rPr>
          <w:rFonts w:ascii="Calibri" w:hAnsi="Calibri"/>
          <w:color w:val="17243A"/>
        </w:rPr>
        <w:t>4:30-5:00 - Close on faster adoption, enforced safeguards, and audit-ready evidence.</w:t>
      </w:r>
    </w:p>
    <w:p>
      <w:pPr>
        <w:pStyle w:val="Heading2"/>
      </w:pPr>
      <w:r>
        <w:t>After the demo</w:t>
      </w:r>
    </w:p>
    <w:p>
      <w:pPr>
        <w:numPr>
          <w:ilvl w:val="0"/>
          <w:numId w:val="1"/>
        </w:numPr>
        <w:spacing w:before="0" w:after="80" w:line="300" w:lineRule="auto"/>
      </w:pPr>
      <w:r>
        <w:rPr>
          <w:rFonts w:ascii="Calibri" w:hAnsi="Calibri"/>
          <w:color w:val="17243A"/>
        </w:rPr>
        <w:t>Write down the audience's strongest reaction and the question you could not answer cleanly.</w:t>
      </w:r>
    </w:p>
    <w:p>
      <w:pPr>
        <w:numPr>
          <w:ilvl w:val="0"/>
          <w:numId w:val="1"/>
        </w:numPr>
        <w:spacing w:before="0" w:after="80" w:line="300" w:lineRule="auto"/>
      </w:pPr>
      <w:r>
        <w:rPr>
          <w:rFonts w:ascii="Calibri" w:hAnsi="Calibri"/>
          <w:color w:val="17243A"/>
        </w:rPr>
        <w:t>Send a follow-up that restates the chosen workflow, accountable owner, control boundary, and evidence requirement.</w:t>
      </w:r>
    </w:p>
    <w:p>
      <w:pPr>
        <w:numPr>
          <w:ilvl w:val="0"/>
          <w:numId w:val="1"/>
        </w:numPr>
        <w:spacing w:before="0" w:after="80" w:line="300" w:lineRule="auto"/>
      </w:pPr>
      <w:r>
        <w:rPr>
          <w:rFonts w:ascii="Calibri" w:hAnsi="Calibri"/>
          <w:color w:val="17243A"/>
        </w:rPr>
        <w:t>Propose one measurable pilot outcome and one date for the next working session.</w:t>
      </w:r>
    </w:p>
    <w:p>
      <w:pPr>
        <w:numPr>
          <w:ilvl w:val="0"/>
          <w:numId w:val="1"/>
        </w:numPr>
        <w:spacing w:before="0" w:after="80" w:line="300" w:lineRule="auto"/>
      </w:pPr>
      <w:r>
        <w:rPr>
          <w:rFonts w:ascii="Calibri" w:hAnsi="Calibri"/>
          <w:color w:val="17243A"/>
        </w:rPr>
        <w:t>Stop the local demo process with Ctrl+C when the session is complete.</w:t>
      </w:r>
    </w:p>
    <w:p>
      <w:pPr>
        <w:spacing w:before="80" w:after="160" w:line="288" w:lineRule="auto"/>
        <w:ind w:left="230" w:right="173"/>
        <w:shd w:fill="FFF7DF" w:val="clear"/>
        <w:pBdr>
          <w:left w:val="single" w:sz="20" w:space="7" w:color="8A6400"/>
        </w:pBdr>
      </w:pPr>
      <w:r>
        <w:rPr>
          <w:rFonts w:ascii="Calibri" w:hAnsi="Calibri"/>
          <w:b/>
          <w:color w:val="8A6400"/>
          <w:sz w:val="19"/>
        </w:rPr>
        <w:t xml:space="preserve">FINAL REMINDER  </w:t>
      </w:r>
      <w:r>
        <w:rPr>
          <w:rFonts w:ascii="Calibri" w:hAnsi="Calibri"/>
          <w:color w:val="17243A"/>
          <w:sz w:val="21"/>
        </w:rPr>
        <w:t>End after the CTA. Do not keep clicking once the closed-loop proof has landed.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color w:val="5F6D82"/>
        <w:sz w:val="16"/>
      </w:rPr>
      <w:t>Synthetic demo data only  |  July 2026</w:t>
    </w:r>
    <w:r>
      <w:rPr>
        <w:rFonts w:ascii="Calibri" w:hAnsi="Calibri"/>
        <w:color w:val="5F6D82"/>
        <w:sz w:val="16"/>
      </w:rPr>
      <w:tab/>
      <w:t xml:space="preserve">Page </w:t>
    </w:r>
    <w:r>
      <w:rPr>
        <w:rFonts w:ascii="Calibri" w:hAnsi="Calibri"/>
        <w:color w:val="5F6D8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Calibri" w:hAnsi="Calibri"/>
        <w:b/>
        <w:color w:val="07101F"/>
        <w:sz w:val="16"/>
      </w:rPr>
      <w:t>ACTURUS  |  AI CONTROL GRID</w:t>
    </w:r>
    <w:r>
      <w:rPr>
        <w:rFonts w:ascii="Calibri" w:hAnsi="Calibri"/>
        <w:b/>
        <w:color w:val="1599B8"/>
        <w:sz w:val="16"/>
      </w:rPr>
      <w:tab/>
      <w:t>PRESENTER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56CF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56C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7101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5F6D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ACTURUS - AI CONTROL GRID Live Demo Workflow</dc:title>
  <dc:subject>Presenter runbook for a repeatable investor and buyer demonstration</dc:subject>
  <dc:creator>ACTURUS</dc:creator>
  <cp:keywords>ACTURUS, AI CONTROL GRID, demo, workflow, presenter runbook</cp:keywords>
  <dc:description>generated by python-docx</dc:description>
  <cp:lastModifiedBy/>
  <cp:revision>1</cp:revision>
  <dcterms:created xsi:type="dcterms:W3CDTF">2013-12-23T23:15:00Z</dcterms:created>
  <dcterms:modified xsi:type="dcterms:W3CDTF">2013-12-23T23:15:00Z</dcterms:modified>
  <cp:category/>
</cp:coreProperties>
</file>