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tutorialspoint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RequestMethod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RestTemplate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tutorialspoint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ConsumeWebService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RestTemplate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restTemplate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"/template/products"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getProductList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headers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setAccept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restTemplate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exchange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"http://localhost:8080/products"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"/template/products"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method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RequestMethod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createProducts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@RequestBody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headers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setAccept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restTemplate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exchange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"http://localhost:8080/products"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"/template/products/{id}"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method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RequestMethod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updateProduct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@RequestBody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headers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setAccept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restTemplate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exchange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"http://localhost:8080/products/"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"/template/products/{id}"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method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RequestMethod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deleteProduct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vertAlign w:val="superscript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headers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setAccept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restTemplate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exchange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vertAlign w:val="superscript"/>
          <w:rtl w:val="0"/>
        </w:rPr>
        <w:t xml:space="preserve">"http://localhost:8080/products/"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entity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21"/>
          <w:szCs w:val="21"/>
          <w:vertAlign w:val="super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vertAlign w:val="superscript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666600"/>
          <w:sz w:val="21"/>
          <w:szCs w:val="21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