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9F8A1" w14:textId="77777777" w:rsidR="00046B28" w:rsidRPr="00C44C5F" w:rsidRDefault="00046B28" w:rsidP="00046B28">
      <w:pPr>
        <w:spacing w:before="100" w:beforeAutospacing="1" w:after="100" w:afterAutospacing="1" w:line="240" w:lineRule="auto"/>
        <w:outlineLvl w:val="0"/>
        <w:rPr>
          <w:rFonts w:ascii="Times New Roman" w:eastAsia="Times New Roman" w:hAnsi="Times New Roman" w:cs="Times New Roman"/>
          <w:b/>
          <w:bCs/>
          <w:color w:val="7030A0"/>
          <w:kern w:val="36"/>
          <w:sz w:val="36"/>
          <w:szCs w:val="36"/>
          <w:lang w:eastAsia="en-IN"/>
        </w:rPr>
      </w:pPr>
      <w:r w:rsidRPr="00C44C5F">
        <w:rPr>
          <w:rFonts w:ascii="Times New Roman" w:eastAsia="Times New Roman" w:hAnsi="Times New Roman" w:cs="Times New Roman"/>
          <w:b/>
          <w:bCs/>
          <w:color w:val="7030A0"/>
          <w:kern w:val="36"/>
          <w:sz w:val="36"/>
          <w:szCs w:val="36"/>
          <w:lang w:eastAsia="en-IN"/>
        </w:rPr>
        <w:t>PlayStation Sales and Metadata Dashboard Report (PS3, PS4, PS5)</w:t>
      </w:r>
    </w:p>
    <w:p w14:paraId="5723FB9F"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Abstract</w:t>
      </w:r>
    </w:p>
    <w:p w14:paraId="1A78F960" w14:textId="77777777" w:rsidR="00046B28" w:rsidRPr="00C44C5F"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C44C5F">
        <w:rPr>
          <w:rFonts w:ascii="Times New Roman" w:eastAsia="Times New Roman" w:hAnsi="Times New Roman" w:cs="Times New Roman"/>
          <w:sz w:val="24"/>
          <w:szCs w:val="24"/>
          <w:lang w:eastAsia="en-IN"/>
        </w:rPr>
        <w:t>This report delivers a comprehensive analysis of PlayStation game sales and metadata across the PS3, PS4, and PS5 platforms. Using a consolidated dataset and an interactive dashboard, the report evaluates commercial performance, regional distribution, shipment efficiency, and content quality indicators. The objective is to provide executive leadership and technical stakeholders with a clear, data-driven view of portfolio health, historical trends, and strategic insights.</w:t>
      </w:r>
    </w:p>
    <w:p w14:paraId="2E039FF5"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sidRPr="00C44C5F">
        <w:rPr>
          <w:rFonts w:ascii="Times New Roman" w:eastAsia="Times New Roman" w:hAnsi="Times New Roman" w:cs="Times New Roman"/>
          <w:sz w:val="24"/>
          <w:szCs w:val="24"/>
          <w:lang w:eastAsia="en-IN"/>
        </w:rPr>
        <w:pict w14:anchorId="782DF750">
          <v:rect id="_x0000_i1025" style="width:0;height:1.5pt" o:hrstd="t" o:hr="t" fillcolor="#a0a0a0" stroked="f"/>
        </w:pict>
      </w:r>
    </w:p>
    <w:p w14:paraId="5C1C49CD"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1. Executive Summary</w:t>
      </w:r>
    </w:p>
    <w:p w14:paraId="44482878"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PlayStation portfolio demonstrates strong historical sales performance, with peak momentum observed during the PS4 lifecycle years. North America emerges as the dominant revenue-generating region, while Japan and other global markets contribute strategically to overall performance. Metadata indicators, including ratings and Metacritic scores, suggest consistently strong engagement and critical reception across the catalog. A decline in sales after 2020 aligns with console lifecycle maturity, transition to newer platforms, and dataset coverage limitations.</w:t>
      </w:r>
    </w:p>
    <w:p w14:paraId="1F456C1F"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75C215">
          <v:rect id="_x0000_i1026" style="width:0;height:1.5pt" o:hrstd="t" o:hr="t" fillcolor="#a0a0a0" stroked="f"/>
        </w:pict>
      </w:r>
    </w:p>
    <w:p w14:paraId="4551A3A6"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2. Dataset Overview</w:t>
      </w:r>
    </w:p>
    <w:p w14:paraId="67FFEE98"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dataset integrates commercial, regional, temporal, and quality-related data to provide a unified analytical foundation. It is structured to support both executive-level reporting and detailed drill-down analysis.</w:t>
      </w:r>
    </w:p>
    <w:p w14:paraId="60712E82"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44546A" w:themeColor="text2"/>
          <w:sz w:val="27"/>
          <w:szCs w:val="27"/>
          <w:lang w:eastAsia="en-IN"/>
        </w:rPr>
      </w:pPr>
      <w:r w:rsidRPr="00C44C5F">
        <w:rPr>
          <w:rFonts w:ascii="Times New Roman" w:eastAsia="Times New Roman" w:hAnsi="Times New Roman" w:cs="Times New Roman"/>
          <w:b/>
          <w:bCs/>
          <w:color w:val="44546A" w:themeColor="text2"/>
          <w:sz w:val="27"/>
          <w:szCs w:val="27"/>
          <w:lang w:eastAsia="en-IN"/>
        </w:rPr>
        <w:t>2.1 Data Domains</w:t>
      </w:r>
    </w:p>
    <w:p w14:paraId="711223A4" w14:textId="77777777" w:rsidR="00046B28" w:rsidRPr="00046B28" w:rsidRDefault="00046B28" w:rsidP="00C44C5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Commercial Metrics:</w:t>
      </w:r>
      <w:r w:rsidRPr="00046B28">
        <w:rPr>
          <w:rFonts w:ascii="Times New Roman" w:eastAsia="Times New Roman" w:hAnsi="Times New Roman" w:cs="Times New Roman"/>
          <w:sz w:val="24"/>
          <w:szCs w:val="24"/>
          <w:lang w:eastAsia="en-IN"/>
        </w:rPr>
        <w:t xml:space="preserve"> Total sales, total units shipped</w:t>
      </w:r>
    </w:p>
    <w:p w14:paraId="5FEE326D" w14:textId="77777777" w:rsidR="00046B28" w:rsidRPr="00046B28" w:rsidRDefault="00046B28" w:rsidP="00C44C5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Regional Metrics:</w:t>
      </w:r>
      <w:r w:rsidRPr="00046B28">
        <w:rPr>
          <w:rFonts w:ascii="Times New Roman" w:eastAsia="Times New Roman" w:hAnsi="Times New Roman" w:cs="Times New Roman"/>
          <w:sz w:val="24"/>
          <w:szCs w:val="24"/>
          <w:lang w:eastAsia="en-IN"/>
        </w:rPr>
        <w:t xml:space="preserve"> North America sales, Japan sales, Other regional sales</w:t>
      </w:r>
    </w:p>
    <w:p w14:paraId="50117682" w14:textId="77777777" w:rsidR="00046B28" w:rsidRPr="00046B28" w:rsidRDefault="00046B28" w:rsidP="00C44C5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Quality &amp; Engagement Metrics:</w:t>
      </w:r>
      <w:r w:rsidRPr="00046B28">
        <w:rPr>
          <w:rFonts w:ascii="Times New Roman" w:eastAsia="Times New Roman" w:hAnsi="Times New Roman" w:cs="Times New Roman"/>
          <w:sz w:val="24"/>
          <w:szCs w:val="24"/>
          <w:lang w:eastAsia="en-IN"/>
        </w:rPr>
        <w:t xml:space="preserve"> Game ratings, Metacritic scores</w:t>
      </w:r>
    </w:p>
    <w:p w14:paraId="48FC3D2E" w14:textId="77777777" w:rsidR="00046B28" w:rsidRPr="00046B28" w:rsidRDefault="00046B28" w:rsidP="00C44C5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Time Dimensions:</w:t>
      </w:r>
      <w:r w:rsidRPr="00046B28">
        <w:rPr>
          <w:rFonts w:ascii="Times New Roman" w:eastAsia="Times New Roman" w:hAnsi="Times New Roman" w:cs="Times New Roman"/>
          <w:sz w:val="24"/>
          <w:szCs w:val="24"/>
          <w:lang w:eastAsia="en-IN"/>
        </w:rPr>
        <w:t xml:space="preserve"> Year, Quarter, Month, Day</w:t>
      </w:r>
    </w:p>
    <w:p w14:paraId="0FC3F364" w14:textId="77777777" w:rsidR="00046B28" w:rsidRPr="00046B28" w:rsidRDefault="00046B28" w:rsidP="00C44C5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Platform Dimension:</w:t>
      </w:r>
      <w:r w:rsidRPr="00046B28">
        <w:rPr>
          <w:rFonts w:ascii="Times New Roman" w:eastAsia="Times New Roman" w:hAnsi="Times New Roman" w:cs="Times New Roman"/>
          <w:sz w:val="24"/>
          <w:szCs w:val="24"/>
          <w:lang w:eastAsia="en-IN"/>
        </w:rPr>
        <w:t xml:space="preserve"> PS3, PS4, PS5</w:t>
      </w:r>
    </w:p>
    <w:p w14:paraId="6B5D0975"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This design enables flexible analysis across platforms, regions, and time horizons.</w:t>
      </w:r>
    </w:p>
    <w:p w14:paraId="6B40CE4E"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A36995">
          <v:rect id="_x0000_i1027" style="width:0;height:1.5pt" o:hrstd="t" o:hr="t" fillcolor="#a0a0a0" stroked="f"/>
        </w:pict>
      </w:r>
    </w:p>
    <w:p w14:paraId="30376978"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lastRenderedPageBreak/>
        <w:t>3. Data Format and Structure</w:t>
      </w:r>
    </w:p>
    <w:p w14:paraId="58D5E00F"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3.1 Logical Data Model</w:t>
      </w:r>
    </w:p>
    <w:p w14:paraId="20017385"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dataset follows a star-schema–style structure optimized for BI reporting:</w:t>
      </w:r>
    </w:p>
    <w:p w14:paraId="72B98783" w14:textId="77777777" w:rsidR="00046B28" w:rsidRPr="00046B28" w:rsidRDefault="00046B28" w:rsidP="00C44C5F">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Fact Table:</w:t>
      </w:r>
      <w:r w:rsidRPr="00046B28">
        <w:rPr>
          <w:rFonts w:ascii="Times New Roman" w:eastAsia="Times New Roman" w:hAnsi="Times New Roman" w:cs="Times New Roman"/>
          <w:sz w:val="24"/>
          <w:szCs w:val="24"/>
          <w:lang w:eastAsia="en-IN"/>
        </w:rPr>
        <w:t xml:space="preserve"> Game sales and shipment performance</w:t>
      </w:r>
    </w:p>
    <w:p w14:paraId="52909065" w14:textId="77777777" w:rsidR="00046B28" w:rsidRPr="00046B28" w:rsidRDefault="00046B28" w:rsidP="00C44C5F">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Dimension Tables:</w:t>
      </w:r>
      <w:r w:rsidRPr="00046B28">
        <w:rPr>
          <w:rFonts w:ascii="Times New Roman" w:eastAsia="Times New Roman" w:hAnsi="Times New Roman" w:cs="Times New Roman"/>
          <w:sz w:val="24"/>
          <w:szCs w:val="24"/>
          <w:lang w:eastAsia="en-IN"/>
        </w:rPr>
        <w:t xml:space="preserve"> Platform, Time, Region, and Metadata attributes</w:t>
      </w:r>
    </w:p>
    <w:p w14:paraId="0F004A70"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3.2 Key Fields Description</w:t>
      </w:r>
    </w:p>
    <w:p w14:paraId="193452B4"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Platform:</w:t>
      </w:r>
      <w:r w:rsidRPr="00046B28">
        <w:rPr>
          <w:rFonts w:ascii="Times New Roman" w:eastAsia="Times New Roman" w:hAnsi="Times New Roman" w:cs="Times New Roman"/>
          <w:sz w:val="24"/>
          <w:szCs w:val="24"/>
          <w:lang w:eastAsia="en-IN"/>
        </w:rPr>
        <w:t xml:space="preserve"> Console generation identifier (PS3, PS4, PS5)</w:t>
      </w:r>
    </w:p>
    <w:p w14:paraId="075576B8"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Total_Sales:</w:t>
      </w:r>
      <w:r w:rsidRPr="00046B28">
        <w:rPr>
          <w:rFonts w:ascii="Times New Roman" w:eastAsia="Times New Roman" w:hAnsi="Times New Roman" w:cs="Times New Roman"/>
          <w:sz w:val="24"/>
          <w:szCs w:val="24"/>
          <w:lang w:eastAsia="en-IN"/>
        </w:rPr>
        <w:t xml:space="preserve"> Aggregated global sales per title</w:t>
      </w:r>
    </w:p>
    <w:p w14:paraId="74B83493"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Total_Shipped:</w:t>
      </w:r>
      <w:r w:rsidRPr="00046B28">
        <w:rPr>
          <w:rFonts w:ascii="Times New Roman" w:eastAsia="Times New Roman" w:hAnsi="Times New Roman" w:cs="Times New Roman"/>
          <w:sz w:val="24"/>
          <w:szCs w:val="24"/>
          <w:lang w:eastAsia="en-IN"/>
        </w:rPr>
        <w:t xml:space="preserve"> Total units shipped to market</w:t>
      </w:r>
    </w:p>
    <w:p w14:paraId="59C5F365"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NA_Sales / JP_Sales / Other_Sales:</w:t>
      </w:r>
      <w:r w:rsidRPr="00046B28">
        <w:rPr>
          <w:rFonts w:ascii="Times New Roman" w:eastAsia="Times New Roman" w:hAnsi="Times New Roman" w:cs="Times New Roman"/>
          <w:sz w:val="24"/>
          <w:szCs w:val="24"/>
          <w:lang w:eastAsia="en-IN"/>
        </w:rPr>
        <w:t xml:space="preserve"> Regional sales breakdown</w:t>
      </w:r>
    </w:p>
    <w:p w14:paraId="1A175D9C"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Rating:</w:t>
      </w:r>
      <w:r w:rsidRPr="00046B28">
        <w:rPr>
          <w:rFonts w:ascii="Times New Roman" w:eastAsia="Times New Roman" w:hAnsi="Times New Roman" w:cs="Times New Roman"/>
          <w:sz w:val="24"/>
          <w:szCs w:val="24"/>
          <w:lang w:eastAsia="en-IN"/>
        </w:rPr>
        <w:t xml:space="preserve"> Aggregated rating count or score</w:t>
      </w:r>
    </w:p>
    <w:p w14:paraId="0D6EDD13"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Metacritic:</w:t>
      </w:r>
      <w:r w:rsidRPr="00046B28">
        <w:rPr>
          <w:rFonts w:ascii="Times New Roman" w:eastAsia="Times New Roman" w:hAnsi="Times New Roman" w:cs="Times New Roman"/>
          <w:sz w:val="24"/>
          <w:szCs w:val="24"/>
          <w:lang w:eastAsia="en-IN"/>
        </w:rPr>
        <w:t xml:space="preserve"> Metacritic score per title</w:t>
      </w:r>
    </w:p>
    <w:p w14:paraId="7123EC9A" w14:textId="77777777" w:rsidR="00046B28" w:rsidRPr="00046B28" w:rsidRDefault="00046B28" w:rsidP="00C44C5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Year / Quarter / Month / Day:</w:t>
      </w:r>
      <w:r w:rsidRPr="00046B28">
        <w:rPr>
          <w:rFonts w:ascii="Times New Roman" w:eastAsia="Times New Roman" w:hAnsi="Times New Roman" w:cs="Times New Roman"/>
          <w:sz w:val="24"/>
          <w:szCs w:val="24"/>
          <w:lang w:eastAsia="en-IN"/>
        </w:rPr>
        <w:t xml:space="preserve"> Time hierarchy for trend analysis</w:t>
      </w:r>
    </w:p>
    <w:p w14:paraId="0A38D3D3"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This standardized format ensures data consistency, scalability, and analytical reliability.</w:t>
      </w:r>
    </w:p>
    <w:p w14:paraId="4122ED24"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165DAF">
          <v:rect id="_x0000_i1028" style="width:0;height:1.5pt" o:hrstd="t" o:hr="t" fillcolor="#a0a0a0" stroked="f"/>
        </w:pict>
      </w:r>
    </w:p>
    <w:p w14:paraId="73F04D59"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4. KPI Card Section (Executive Indicators)</w:t>
      </w:r>
    </w:p>
    <w:p w14:paraId="64D45647"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KPI card section functions as the executive summary layer of the dashboard. Positioned prominently at the top, it delivers immediate visibility into overall performance, market scale, and content quality without requiring interaction with detailed charts.</w:t>
      </w:r>
    </w:p>
    <w:p w14:paraId="40FEC0E1"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KPIs collectively reflect the health of the PlayStation portfolio by combining commercial outcomes with engagement and quality signals. This allows decision-makers to rapidly contextualize deeper analytical findings presented in subsequent visualizations.</w:t>
      </w:r>
    </w:p>
    <w:p w14:paraId="083A3E79"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14D345">
          <v:rect id="_x0000_i1029" style="width:0;height:1.5pt" o:hrstd="t" o:hr="t" fillcolor="#a0a0a0" stroked="f"/>
        </w:pict>
      </w:r>
    </w:p>
    <w:p w14:paraId="3D7B6D6B"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5. Sales Performance Analysis</w:t>
      </w:r>
    </w:p>
    <w:p w14:paraId="432163F5"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5.1 Total Sales vs. Total Shipped</w:t>
      </w:r>
    </w:p>
    <w:p w14:paraId="73048FC8"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comparison between total sales and shipped units highlights efficient distribution and strong sell-through rates during peak lifecycle periods. Minor variances indicate effective inventory and supply-chain alignment.</w:t>
      </w:r>
    </w:p>
    <w:p w14:paraId="110CED6F"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5.2 Regional Sales Distribution</w:t>
      </w:r>
    </w:p>
    <w:p w14:paraId="37FD85E1"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lastRenderedPageBreak/>
        <w:t>Sales are heavily concentrated in North America, reinforcing its strategic importance. Japan maintains a smaller but culturally and strategically significant share, while other regions provide diversified global revenue support.</w:t>
      </w:r>
    </w:p>
    <w:p w14:paraId="1405D851"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5.3 Year-over-Year Trends</w:t>
      </w:r>
    </w:p>
    <w:p w14:paraId="3F484B28"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Sales growth accelerates during late PS3 and early PS4 years, reaching a peak in the mid-2010s. A notable decline after 2020 corresponds with platform transitions and reduced legacy title output.</w:t>
      </w:r>
    </w:p>
    <w:p w14:paraId="53780C0E"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F9EFF5">
          <v:rect id="_x0000_i1030" style="width:0;height:1.5pt" o:hrstd="t" o:hr="t" fillcolor="#a0a0a0" stroked="f"/>
        </w:pict>
      </w:r>
    </w:p>
    <w:p w14:paraId="3F735CB6"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6. Time Intelligence and Filtering</w:t>
      </w:r>
    </w:p>
    <w:p w14:paraId="47B893F9"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The dashboard’s time hierarchy (Year, Quarter, Month, Day) enables:</w:t>
      </w:r>
    </w:p>
    <w:p w14:paraId="0F1199D7" w14:textId="77777777" w:rsidR="00046B28" w:rsidRPr="00046B28" w:rsidRDefault="00046B28" w:rsidP="00C44C5F">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Seasonal performance evaluation</w:t>
      </w:r>
    </w:p>
    <w:p w14:paraId="3147938A" w14:textId="77777777" w:rsidR="00046B28" w:rsidRPr="00046B28" w:rsidRDefault="00046B28" w:rsidP="00C44C5F">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Lifecycle analysis by console generation</w:t>
      </w:r>
    </w:p>
    <w:p w14:paraId="21F3E515" w14:textId="77777777" w:rsidR="00046B28" w:rsidRPr="00046B28" w:rsidRDefault="00046B28" w:rsidP="00C44C5F">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Identification of release-window performance patterns</w:t>
      </w:r>
    </w:p>
    <w:p w14:paraId="24A82934"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This capability supports both strategic forecasting and operational reviews.</w:t>
      </w:r>
    </w:p>
    <w:p w14:paraId="624169CF"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776771">
          <v:rect id="_x0000_i1031" style="width:0;height:1.5pt" o:hrstd="t" o:hr="t" fillcolor="#a0a0a0" stroked="f"/>
        </w:pict>
      </w:r>
    </w:p>
    <w:p w14:paraId="028513B4"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7. Technical Architecture and Team</w:t>
      </w:r>
    </w:p>
    <w:p w14:paraId="46518A47"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7.1 Technical Architecture</w:t>
      </w:r>
    </w:p>
    <w:p w14:paraId="41328DE0" w14:textId="77777777" w:rsidR="00046B28" w:rsidRPr="00046B28" w:rsidRDefault="00046B28" w:rsidP="00C44C5F">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Data Source:</w:t>
      </w:r>
      <w:r w:rsidRPr="00046B28">
        <w:rPr>
          <w:rFonts w:ascii="Times New Roman" w:eastAsia="Times New Roman" w:hAnsi="Times New Roman" w:cs="Times New Roman"/>
          <w:sz w:val="24"/>
          <w:szCs w:val="24"/>
          <w:lang w:eastAsia="en-IN"/>
        </w:rPr>
        <w:t xml:space="preserve"> Consolidated CSV dataset</w:t>
      </w:r>
    </w:p>
    <w:p w14:paraId="4B79B12D" w14:textId="77777777" w:rsidR="00046B28" w:rsidRPr="00046B28" w:rsidRDefault="00046B28" w:rsidP="00C44C5F">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Data Processing:</w:t>
      </w:r>
      <w:r w:rsidRPr="00046B28">
        <w:rPr>
          <w:rFonts w:ascii="Times New Roman" w:eastAsia="Times New Roman" w:hAnsi="Times New Roman" w:cs="Times New Roman"/>
          <w:sz w:val="24"/>
          <w:szCs w:val="24"/>
          <w:lang w:eastAsia="en-IN"/>
        </w:rPr>
        <w:t xml:space="preserve"> Cleaning, normalization, and aggregation</w:t>
      </w:r>
    </w:p>
    <w:p w14:paraId="168EED48" w14:textId="77777777" w:rsidR="00046B28" w:rsidRPr="00046B28" w:rsidRDefault="00046B28" w:rsidP="00C44C5F">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Semantic Layer:</w:t>
      </w:r>
      <w:r w:rsidRPr="00046B28">
        <w:rPr>
          <w:rFonts w:ascii="Times New Roman" w:eastAsia="Times New Roman" w:hAnsi="Times New Roman" w:cs="Times New Roman"/>
          <w:sz w:val="24"/>
          <w:szCs w:val="24"/>
          <w:lang w:eastAsia="en-IN"/>
        </w:rPr>
        <w:t xml:space="preserve"> Measures and calculated KPIs</w:t>
      </w:r>
    </w:p>
    <w:p w14:paraId="0431A625" w14:textId="77777777" w:rsidR="00046B28" w:rsidRPr="00046B28" w:rsidRDefault="00046B28" w:rsidP="00C44C5F">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Visualization Layer:</w:t>
      </w:r>
      <w:r w:rsidRPr="00046B28">
        <w:rPr>
          <w:rFonts w:ascii="Times New Roman" w:eastAsia="Times New Roman" w:hAnsi="Times New Roman" w:cs="Times New Roman"/>
          <w:sz w:val="24"/>
          <w:szCs w:val="24"/>
          <w:lang w:eastAsia="en-IN"/>
        </w:rPr>
        <w:t xml:space="preserve"> Interactive BI dashboard with slicers and dynamic visuals</w:t>
      </w:r>
    </w:p>
    <w:p w14:paraId="7FBF9BC0" w14:textId="77777777" w:rsidR="00046B28" w:rsidRPr="00C44C5F" w:rsidRDefault="00046B28" w:rsidP="00C44C5F">
      <w:pPr>
        <w:spacing w:before="100" w:beforeAutospacing="1" w:after="100" w:afterAutospacing="1" w:line="276" w:lineRule="auto"/>
        <w:jc w:val="both"/>
        <w:outlineLvl w:val="2"/>
        <w:rPr>
          <w:rFonts w:ascii="Times New Roman" w:eastAsia="Times New Roman" w:hAnsi="Times New Roman" w:cs="Times New Roman"/>
          <w:b/>
          <w:bCs/>
          <w:color w:val="A5A5A5" w:themeColor="accent3"/>
          <w:sz w:val="27"/>
          <w:szCs w:val="27"/>
          <w:lang w:eastAsia="en-IN"/>
        </w:rPr>
      </w:pPr>
      <w:r w:rsidRPr="00C44C5F">
        <w:rPr>
          <w:rFonts w:ascii="Times New Roman" w:eastAsia="Times New Roman" w:hAnsi="Times New Roman" w:cs="Times New Roman"/>
          <w:b/>
          <w:bCs/>
          <w:color w:val="A5A5A5" w:themeColor="accent3"/>
          <w:sz w:val="27"/>
          <w:szCs w:val="27"/>
          <w:lang w:eastAsia="en-IN"/>
        </w:rPr>
        <w:t>7.2 Technical Team Roles</w:t>
      </w:r>
    </w:p>
    <w:p w14:paraId="74C70B6F" w14:textId="77777777" w:rsidR="00046B28" w:rsidRPr="00046B28" w:rsidRDefault="00046B28" w:rsidP="00C44C5F">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Data Engineer:</w:t>
      </w:r>
      <w:r w:rsidRPr="00046B28">
        <w:rPr>
          <w:rFonts w:ascii="Times New Roman" w:eastAsia="Times New Roman" w:hAnsi="Times New Roman" w:cs="Times New Roman"/>
          <w:sz w:val="24"/>
          <w:szCs w:val="24"/>
          <w:lang w:eastAsia="en-IN"/>
        </w:rPr>
        <w:t xml:space="preserve"> Data ingestion, transformation, and model optimization</w:t>
      </w:r>
    </w:p>
    <w:p w14:paraId="130E96BD" w14:textId="77777777" w:rsidR="00046B28" w:rsidRPr="00046B28" w:rsidRDefault="00046B28" w:rsidP="00C44C5F">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BI Developer:</w:t>
      </w:r>
      <w:r w:rsidRPr="00046B28">
        <w:rPr>
          <w:rFonts w:ascii="Times New Roman" w:eastAsia="Times New Roman" w:hAnsi="Times New Roman" w:cs="Times New Roman"/>
          <w:sz w:val="24"/>
          <w:szCs w:val="24"/>
          <w:lang w:eastAsia="en-IN"/>
        </w:rPr>
        <w:t xml:space="preserve"> Dashboard design, KPI logic, and performance tuning</w:t>
      </w:r>
    </w:p>
    <w:p w14:paraId="31B99C6A" w14:textId="77777777" w:rsidR="00046B28" w:rsidRPr="00046B28" w:rsidRDefault="00046B28" w:rsidP="00C44C5F">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Data Analyst:</w:t>
      </w:r>
      <w:r w:rsidRPr="00046B28">
        <w:rPr>
          <w:rFonts w:ascii="Times New Roman" w:eastAsia="Times New Roman" w:hAnsi="Times New Roman" w:cs="Times New Roman"/>
          <w:sz w:val="24"/>
          <w:szCs w:val="24"/>
          <w:lang w:eastAsia="en-IN"/>
        </w:rPr>
        <w:t xml:space="preserve"> Insight generation, validation, and business alignment</w:t>
      </w:r>
    </w:p>
    <w:p w14:paraId="38B25A7C" w14:textId="77777777" w:rsidR="00046B28" w:rsidRPr="00046B28" w:rsidRDefault="00046B28" w:rsidP="00C44C5F">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b/>
          <w:bCs/>
          <w:sz w:val="24"/>
          <w:szCs w:val="24"/>
          <w:lang w:eastAsia="en-IN"/>
        </w:rPr>
        <w:t>Business Stakeholder:</w:t>
      </w:r>
      <w:r w:rsidRPr="00046B28">
        <w:rPr>
          <w:rFonts w:ascii="Times New Roman" w:eastAsia="Times New Roman" w:hAnsi="Times New Roman" w:cs="Times New Roman"/>
          <w:sz w:val="24"/>
          <w:szCs w:val="24"/>
          <w:lang w:eastAsia="en-IN"/>
        </w:rPr>
        <w:t xml:space="preserve"> Requirements definition and strategic alignment</w:t>
      </w:r>
    </w:p>
    <w:p w14:paraId="2D4627EE"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C820EE">
          <v:rect id="_x0000_i1032" style="width:0;height:1.5pt" o:hrstd="t" o:hr="t" fillcolor="#a0a0a0" stroked="f"/>
        </w:pict>
      </w:r>
    </w:p>
    <w:p w14:paraId="02CEF16C" w14:textId="08417A50" w:rsidR="00C44C5F"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8. Key Insights and Recommendation</w:t>
      </w:r>
    </w:p>
    <w:p w14:paraId="1E63D7D4" w14:textId="77777777" w:rsidR="00046B28" w:rsidRPr="00046B28" w:rsidRDefault="00046B28" w:rsidP="00C44C5F">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lastRenderedPageBreak/>
        <w:t>Maintain strategic focus on North America while tailoring content for Japan-specific preferences.</w:t>
      </w:r>
    </w:p>
    <w:p w14:paraId="775BAB2A" w14:textId="77777777" w:rsidR="00046B28" w:rsidRPr="00046B28" w:rsidRDefault="00046B28" w:rsidP="00C44C5F">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Leverage ratings and Metacritic scores as predictive indicators for future sales performance.</w:t>
      </w:r>
    </w:p>
    <w:p w14:paraId="12C27195" w14:textId="77777777" w:rsidR="00046B28" w:rsidRPr="00046B28" w:rsidRDefault="00046B28" w:rsidP="00C44C5F">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Enhance future datasets with digital vs. physical sales splits and PS5-era releases for improved forward-looking analysis.</w:t>
      </w:r>
    </w:p>
    <w:p w14:paraId="488C1667" w14:textId="77777777" w:rsidR="00046B28" w:rsidRPr="00046B28" w:rsidRDefault="00000000" w:rsidP="00C44C5F">
      <w:pPr>
        <w:spacing w:after="0"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A44438">
          <v:rect id="_x0000_i1033" style="width:0;height:1.5pt" o:hrstd="t" o:hr="t" fillcolor="#a0a0a0" stroked="f"/>
        </w:pict>
      </w:r>
    </w:p>
    <w:p w14:paraId="41444CE0" w14:textId="77777777" w:rsidR="00046B28" w:rsidRPr="00C44C5F" w:rsidRDefault="00046B28" w:rsidP="00C44C5F">
      <w:pPr>
        <w:spacing w:before="100" w:beforeAutospacing="1" w:after="100" w:afterAutospacing="1" w:line="276" w:lineRule="auto"/>
        <w:jc w:val="both"/>
        <w:outlineLvl w:val="1"/>
        <w:rPr>
          <w:rFonts w:ascii="Times New Roman" w:eastAsia="Times New Roman" w:hAnsi="Times New Roman" w:cs="Times New Roman"/>
          <w:b/>
          <w:bCs/>
          <w:color w:val="ED7D31" w:themeColor="accent2"/>
          <w:sz w:val="32"/>
          <w:szCs w:val="32"/>
          <w:lang w:eastAsia="en-IN"/>
        </w:rPr>
      </w:pPr>
      <w:r w:rsidRPr="00C44C5F">
        <w:rPr>
          <w:rFonts w:ascii="Times New Roman" w:eastAsia="Times New Roman" w:hAnsi="Times New Roman" w:cs="Times New Roman"/>
          <w:b/>
          <w:bCs/>
          <w:color w:val="ED7D31" w:themeColor="accent2"/>
          <w:sz w:val="32"/>
          <w:szCs w:val="32"/>
          <w:lang w:eastAsia="en-IN"/>
        </w:rPr>
        <w:t>9. Conclusion</w:t>
      </w:r>
    </w:p>
    <w:p w14:paraId="744616F2" w14:textId="77777777" w:rsidR="00046B28" w:rsidRPr="00046B28" w:rsidRDefault="00046B28" w:rsidP="00C44C5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46B28">
        <w:rPr>
          <w:rFonts w:ascii="Times New Roman" w:eastAsia="Times New Roman" w:hAnsi="Times New Roman" w:cs="Times New Roman"/>
          <w:sz w:val="24"/>
          <w:szCs w:val="24"/>
          <w:lang w:eastAsia="en-IN"/>
        </w:rPr>
        <w:t>This report and dashboard together provide a complete, executive-ready view of PlayStation sales performance and metadata across three console generations. By integrating commercial, regional, temporal, and quality metrics into a unified analytical framework, the solution supports informed decision-making, strategic planning, and long-term portfolio optimization.</w:t>
      </w:r>
    </w:p>
    <w:p w14:paraId="0C8AC6EF" w14:textId="77777777" w:rsidR="00046B28" w:rsidRDefault="00046B28" w:rsidP="00C44C5F">
      <w:pPr>
        <w:spacing w:line="276" w:lineRule="auto"/>
        <w:jc w:val="both"/>
      </w:pPr>
    </w:p>
    <w:sectPr w:rsidR="00046B2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CF45C" w14:textId="77777777" w:rsidR="00E0344A" w:rsidRDefault="00E0344A" w:rsidP="00C44C5F">
      <w:pPr>
        <w:spacing w:after="0" w:line="240" w:lineRule="auto"/>
      </w:pPr>
      <w:r>
        <w:separator/>
      </w:r>
    </w:p>
  </w:endnote>
  <w:endnote w:type="continuationSeparator" w:id="0">
    <w:p w14:paraId="6A95E939" w14:textId="77777777" w:rsidR="00E0344A" w:rsidRDefault="00E0344A" w:rsidP="00C44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78FFE" w14:textId="77777777" w:rsidR="00E0344A" w:rsidRDefault="00E0344A" w:rsidP="00C44C5F">
      <w:pPr>
        <w:spacing w:after="0" w:line="240" w:lineRule="auto"/>
      </w:pPr>
      <w:r>
        <w:separator/>
      </w:r>
    </w:p>
  </w:footnote>
  <w:footnote w:type="continuationSeparator" w:id="0">
    <w:p w14:paraId="2CE2F3BA" w14:textId="77777777" w:rsidR="00E0344A" w:rsidRDefault="00E0344A" w:rsidP="00C44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05137" w14:textId="49C20E20" w:rsidR="00C44C5F" w:rsidRDefault="00C44C5F">
    <w:pPr>
      <w:pStyle w:val="Header"/>
      <w:jc w:val="right"/>
      <w:rPr>
        <w:color w:val="8496B0" w:themeColor="text2" w:themeTint="99"/>
        <w:sz w:val="24"/>
        <w:szCs w:val="24"/>
      </w:rPr>
    </w:pPr>
    <w:r>
      <w:rPr>
        <w:color w:val="8496B0" w:themeColor="text2" w:themeTint="99"/>
        <w:sz w:val="24"/>
        <w:szCs w:val="24"/>
      </w:rPr>
      <w:t xml:space="preserve"> </w:t>
    </w:r>
  </w:p>
  <w:p w14:paraId="29BFCD30" w14:textId="77777777" w:rsidR="00C44C5F" w:rsidRDefault="00C44C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5B2A"/>
    <w:multiLevelType w:val="multilevel"/>
    <w:tmpl w:val="649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53E8"/>
    <w:multiLevelType w:val="multilevel"/>
    <w:tmpl w:val="663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5080"/>
    <w:multiLevelType w:val="multilevel"/>
    <w:tmpl w:val="04E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311B7"/>
    <w:multiLevelType w:val="multilevel"/>
    <w:tmpl w:val="A7B2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23321"/>
    <w:multiLevelType w:val="multilevel"/>
    <w:tmpl w:val="7DF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86ADE"/>
    <w:multiLevelType w:val="multilevel"/>
    <w:tmpl w:val="49F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955B3"/>
    <w:multiLevelType w:val="multilevel"/>
    <w:tmpl w:val="075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16143">
    <w:abstractNumId w:val="6"/>
  </w:num>
  <w:num w:numId="2" w16cid:durableId="203248823">
    <w:abstractNumId w:val="1"/>
  </w:num>
  <w:num w:numId="3" w16cid:durableId="834762526">
    <w:abstractNumId w:val="4"/>
  </w:num>
  <w:num w:numId="4" w16cid:durableId="2101562238">
    <w:abstractNumId w:val="0"/>
  </w:num>
  <w:num w:numId="5" w16cid:durableId="1787307147">
    <w:abstractNumId w:val="2"/>
  </w:num>
  <w:num w:numId="6" w16cid:durableId="814565728">
    <w:abstractNumId w:val="5"/>
  </w:num>
  <w:num w:numId="7" w16cid:durableId="603462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28"/>
    <w:rsid w:val="00046B28"/>
    <w:rsid w:val="00C44C5F"/>
    <w:rsid w:val="00E0344A"/>
    <w:rsid w:val="00FC391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F866"/>
  <w15:chartTrackingRefBased/>
  <w15:docId w15:val="{133BD3A4-98DE-4C2F-BC2B-EE3A76BBC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046B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46B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6B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46B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6B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46B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6B28"/>
    <w:rPr>
      <w:b/>
      <w:bCs/>
    </w:rPr>
  </w:style>
  <w:style w:type="paragraph" w:styleId="Header">
    <w:name w:val="header"/>
    <w:basedOn w:val="Normal"/>
    <w:link w:val="HeaderChar"/>
    <w:uiPriority w:val="99"/>
    <w:unhideWhenUsed/>
    <w:rsid w:val="00C44C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C5F"/>
    <w:rPr>
      <w:rFonts w:cs="Latha"/>
    </w:rPr>
  </w:style>
  <w:style w:type="paragraph" w:styleId="Footer">
    <w:name w:val="footer"/>
    <w:basedOn w:val="Normal"/>
    <w:link w:val="FooterChar"/>
    <w:uiPriority w:val="99"/>
    <w:unhideWhenUsed/>
    <w:rsid w:val="00C44C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C5F"/>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GOMATHY A</dc:creator>
  <cp:keywords/>
  <dc:description/>
  <cp:lastModifiedBy>GOMATHY A</cp:lastModifiedBy>
  <cp:revision>3</cp:revision>
  <dcterms:created xsi:type="dcterms:W3CDTF">2026-01-13T07:17:00Z</dcterms:created>
  <dcterms:modified xsi:type="dcterms:W3CDTF">2026-01-20T06:44:00Z</dcterms:modified>
</cp:coreProperties>
</file>